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1EFBD">
      <w:pPr>
        <w:pStyle w:val="11"/>
        <w:spacing w:line="272" w:lineRule="auto"/>
        <w:rPr>
          <w:rFonts w:eastAsia="宋体"/>
          <w:lang w:eastAsia="zh-CN"/>
        </w:rPr>
      </w:pPr>
    </w:p>
    <w:p w14:paraId="628708B7">
      <w:pPr>
        <w:pStyle w:val="11"/>
        <w:spacing w:line="273" w:lineRule="auto"/>
      </w:pPr>
    </w:p>
    <w:p w14:paraId="71663343">
      <w:pPr>
        <w:pStyle w:val="11"/>
        <w:spacing w:line="273" w:lineRule="auto"/>
      </w:pPr>
    </w:p>
    <w:p w14:paraId="78C988EC">
      <w:pPr>
        <w:pStyle w:val="11"/>
        <w:spacing w:line="273" w:lineRule="auto"/>
      </w:pPr>
    </w:p>
    <w:p w14:paraId="47092636">
      <w:pPr>
        <w:pStyle w:val="11"/>
        <w:spacing w:line="251" w:lineRule="auto"/>
        <w:jc w:val="center"/>
        <w:rPr>
          <w:rFonts w:hint="eastAsia" w:ascii="宋体" w:hAnsi="宋体" w:eastAsia="宋体" w:cs="宋体"/>
          <w:b/>
          <w:bCs/>
          <w:spacing w:val="-7"/>
          <w:sz w:val="48"/>
          <w:szCs w:val="48"/>
          <w:lang w:eastAsia="zh-CN"/>
        </w:rPr>
      </w:pPr>
      <w:r>
        <w:rPr>
          <w:rFonts w:ascii="宋体" w:hAnsi="宋体" w:eastAsia="宋体" w:cs="宋体"/>
          <w:b/>
          <w:bCs/>
          <w:spacing w:val="-7"/>
          <w:sz w:val="48"/>
          <w:szCs w:val="48"/>
          <w:lang w:eastAsia="zh-CN"/>
        </w:rPr>
        <w:t>山东济钢环保新材料有限公司</w:t>
      </w:r>
    </w:p>
    <w:p w14:paraId="2A1D83DF">
      <w:pPr>
        <w:pStyle w:val="11"/>
        <w:spacing w:line="251" w:lineRule="auto"/>
        <w:jc w:val="center"/>
        <w:rPr>
          <w:lang w:eastAsia="zh-CN"/>
        </w:rPr>
      </w:pPr>
      <w:r>
        <w:rPr>
          <w:rFonts w:ascii="宋体" w:hAnsi="宋体" w:eastAsia="宋体" w:cs="宋体"/>
          <w:b/>
          <w:bCs/>
          <w:spacing w:val="-7"/>
          <w:sz w:val="48"/>
          <w:szCs w:val="48"/>
          <w:lang w:eastAsia="zh-CN"/>
        </w:rPr>
        <w:t>工程造价咨询服务采购</w:t>
      </w:r>
    </w:p>
    <w:p w14:paraId="4958B8A2">
      <w:pPr>
        <w:pStyle w:val="11"/>
        <w:spacing w:line="251" w:lineRule="auto"/>
        <w:rPr>
          <w:lang w:eastAsia="zh-CN"/>
        </w:rPr>
      </w:pPr>
    </w:p>
    <w:p w14:paraId="6BB008A6">
      <w:pPr>
        <w:pStyle w:val="11"/>
        <w:spacing w:line="251" w:lineRule="auto"/>
        <w:rPr>
          <w:lang w:eastAsia="zh-CN"/>
        </w:rPr>
      </w:pPr>
    </w:p>
    <w:p w14:paraId="5B48B46D">
      <w:pPr>
        <w:pStyle w:val="11"/>
        <w:spacing w:line="251" w:lineRule="auto"/>
        <w:rPr>
          <w:lang w:eastAsia="zh-CN"/>
        </w:rPr>
      </w:pPr>
    </w:p>
    <w:p w14:paraId="0F3E97A3">
      <w:pPr>
        <w:pStyle w:val="11"/>
        <w:spacing w:line="251" w:lineRule="auto"/>
        <w:rPr>
          <w:lang w:eastAsia="zh-CN"/>
        </w:rPr>
      </w:pPr>
    </w:p>
    <w:p w14:paraId="6F4BFA1D">
      <w:pPr>
        <w:pStyle w:val="11"/>
        <w:spacing w:line="251" w:lineRule="auto"/>
        <w:rPr>
          <w:lang w:eastAsia="zh-CN"/>
        </w:rPr>
      </w:pPr>
    </w:p>
    <w:p w14:paraId="50C729B0">
      <w:pPr>
        <w:pStyle w:val="11"/>
        <w:spacing w:line="252" w:lineRule="auto"/>
        <w:rPr>
          <w:lang w:eastAsia="zh-CN"/>
        </w:rPr>
      </w:pPr>
    </w:p>
    <w:p w14:paraId="03972839">
      <w:pPr>
        <w:pStyle w:val="11"/>
        <w:spacing w:line="252" w:lineRule="auto"/>
        <w:rPr>
          <w:lang w:eastAsia="zh-CN"/>
        </w:rPr>
      </w:pPr>
    </w:p>
    <w:p w14:paraId="58EEB9AB">
      <w:pPr>
        <w:pStyle w:val="11"/>
        <w:spacing w:line="252" w:lineRule="auto"/>
        <w:rPr>
          <w:lang w:eastAsia="zh-CN"/>
        </w:rPr>
      </w:pPr>
    </w:p>
    <w:p w14:paraId="5955C058">
      <w:pPr>
        <w:pStyle w:val="11"/>
        <w:spacing w:line="252" w:lineRule="auto"/>
        <w:rPr>
          <w:lang w:eastAsia="zh-CN"/>
        </w:rPr>
      </w:pPr>
    </w:p>
    <w:p w14:paraId="49C0C709">
      <w:pPr>
        <w:spacing w:before="169" w:line="220" w:lineRule="auto"/>
        <w:ind w:left="2351"/>
        <w:rPr>
          <w:rFonts w:hint="eastAsia" w:ascii="宋体" w:hAnsi="宋体" w:eastAsia="宋体" w:cs="宋体"/>
          <w:sz w:val="48"/>
          <w:szCs w:val="48"/>
          <w:lang w:eastAsia="zh-CN"/>
        </w:rPr>
      </w:pPr>
      <w:r>
        <w:rPr>
          <w:rFonts w:ascii="宋体" w:hAnsi="宋体" w:eastAsia="宋体" w:cs="宋体"/>
          <w:b/>
          <w:bCs/>
          <w:spacing w:val="-6"/>
          <w:sz w:val="48"/>
          <w:szCs w:val="48"/>
          <w:lang w:eastAsia="zh-CN"/>
        </w:rPr>
        <w:t>竞争性谈判文件</w:t>
      </w:r>
    </w:p>
    <w:p w14:paraId="03A080A9">
      <w:pPr>
        <w:pStyle w:val="11"/>
        <w:spacing w:line="244" w:lineRule="auto"/>
        <w:rPr>
          <w:lang w:eastAsia="zh-CN"/>
        </w:rPr>
      </w:pPr>
    </w:p>
    <w:p w14:paraId="3F748572">
      <w:pPr>
        <w:pStyle w:val="11"/>
        <w:spacing w:line="245" w:lineRule="auto"/>
        <w:rPr>
          <w:lang w:eastAsia="zh-CN"/>
        </w:rPr>
      </w:pPr>
    </w:p>
    <w:p w14:paraId="74304D23">
      <w:pPr>
        <w:pStyle w:val="11"/>
        <w:spacing w:line="245" w:lineRule="auto"/>
        <w:rPr>
          <w:lang w:eastAsia="zh-CN"/>
        </w:rPr>
      </w:pPr>
    </w:p>
    <w:p w14:paraId="7C0C390A">
      <w:pPr>
        <w:pStyle w:val="11"/>
        <w:spacing w:line="245" w:lineRule="auto"/>
        <w:rPr>
          <w:lang w:eastAsia="zh-CN"/>
        </w:rPr>
      </w:pPr>
    </w:p>
    <w:p w14:paraId="7BF52240">
      <w:pPr>
        <w:pStyle w:val="11"/>
        <w:spacing w:line="245" w:lineRule="auto"/>
        <w:rPr>
          <w:lang w:eastAsia="zh-CN"/>
        </w:rPr>
      </w:pPr>
    </w:p>
    <w:p w14:paraId="062FE791">
      <w:pPr>
        <w:pStyle w:val="11"/>
        <w:spacing w:line="245" w:lineRule="auto"/>
        <w:rPr>
          <w:lang w:eastAsia="zh-CN"/>
        </w:rPr>
      </w:pPr>
    </w:p>
    <w:p w14:paraId="76D351F5">
      <w:pPr>
        <w:pStyle w:val="11"/>
        <w:spacing w:line="245" w:lineRule="auto"/>
        <w:rPr>
          <w:lang w:eastAsia="zh-CN"/>
        </w:rPr>
      </w:pPr>
    </w:p>
    <w:p w14:paraId="23FC0B42">
      <w:pPr>
        <w:pStyle w:val="11"/>
        <w:spacing w:line="245" w:lineRule="auto"/>
        <w:rPr>
          <w:lang w:eastAsia="zh-CN"/>
        </w:rPr>
      </w:pPr>
    </w:p>
    <w:p w14:paraId="1748A225">
      <w:pPr>
        <w:pStyle w:val="11"/>
        <w:spacing w:line="245" w:lineRule="auto"/>
        <w:rPr>
          <w:lang w:eastAsia="zh-CN"/>
        </w:rPr>
      </w:pPr>
    </w:p>
    <w:p w14:paraId="58811DA3">
      <w:pPr>
        <w:pStyle w:val="11"/>
        <w:spacing w:line="245" w:lineRule="auto"/>
        <w:rPr>
          <w:lang w:eastAsia="zh-CN"/>
        </w:rPr>
      </w:pPr>
    </w:p>
    <w:p w14:paraId="6C5AD8E5">
      <w:pPr>
        <w:pStyle w:val="11"/>
        <w:spacing w:line="245" w:lineRule="auto"/>
        <w:rPr>
          <w:lang w:eastAsia="zh-CN"/>
        </w:rPr>
      </w:pPr>
    </w:p>
    <w:p w14:paraId="743FAB7F">
      <w:pPr>
        <w:pStyle w:val="11"/>
        <w:spacing w:line="245" w:lineRule="auto"/>
        <w:rPr>
          <w:lang w:eastAsia="zh-CN"/>
        </w:rPr>
      </w:pPr>
    </w:p>
    <w:p w14:paraId="49A30CF7">
      <w:pPr>
        <w:pStyle w:val="11"/>
        <w:spacing w:line="245" w:lineRule="auto"/>
        <w:rPr>
          <w:lang w:eastAsia="zh-CN"/>
        </w:rPr>
      </w:pPr>
    </w:p>
    <w:p w14:paraId="0F3533E1">
      <w:pPr>
        <w:pStyle w:val="11"/>
        <w:spacing w:line="245" w:lineRule="auto"/>
        <w:rPr>
          <w:lang w:eastAsia="zh-CN"/>
        </w:rPr>
      </w:pPr>
    </w:p>
    <w:p w14:paraId="0713F18B">
      <w:pPr>
        <w:spacing w:line="334" w:lineRule="auto"/>
        <w:jc w:val="center"/>
        <w:rPr>
          <w:rFonts w:hint="eastAsia" w:ascii="宋体" w:hAnsi="宋体" w:eastAsia="宋体" w:cs="宋体"/>
          <w:spacing w:val="1"/>
          <w:sz w:val="31"/>
          <w:szCs w:val="31"/>
          <w:lang w:eastAsia="zh-CN"/>
        </w:rPr>
      </w:pPr>
      <w:r>
        <w:rPr>
          <w:rFonts w:ascii="宋体" w:hAnsi="宋体" w:eastAsia="宋体" w:cs="宋体"/>
          <w:b/>
          <w:bCs/>
          <w:spacing w:val="6"/>
          <w:sz w:val="31"/>
          <w:szCs w:val="31"/>
          <w:lang w:eastAsia="zh-CN"/>
        </w:rPr>
        <w:t>采购人：山东济钢环保新材料有限公司</w:t>
      </w:r>
      <w:r>
        <w:rPr>
          <w:rFonts w:ascii="宋体" w:hAnsi="宋体" w:eastAsia="宋体" w:cs="宋体"/>
          <w:spacing w:val="1"/>
          <w:sz w:val="31"/>
          <w:szCs w:val="31"/>
          <w:lang w:eastAsia="zh-CN"/>
        </w:rPr>
        <w:t xml:space="preserve"> </w:t>
      </w:r>
    </w:p>
    <w:p w14:paraId="23261AD1">
      <w:pPr>
        <w:spacing w:line="334" w:lineRule="auto"/>
        <w:jc w:val="center"/>
        <w:rPr>
          <w:rFonts w:hint="eastAsia" w:ascii="宋体" w:hAnsi="宋体" w:eastAsia="宋体" w:cs="宋体"/>
          <w:b/>
          <w:bCs/>
          <w:spacing w:val="4"/>
          <w:sz w:val="31"/>
          <w:szCs w:val="31"/>
          <w:lang w:eastAsia="zh-CN"/>
        </w:rPr>
      </w:pPr>
      <w:r>
        <w:rPr>
          <w:rFonts w:hint="eastAsia" w:ascii="宋体" w:hAnsi="宋体" w:eastAsia="宋体" w:cs="宋体"/>
          <w:b/>
          <w:bCs/>
          <w:spacing w:val="4"/>
          <w:sz w:val="31"/>
          <w:szCs w:val="31"/>
          <w:lang w:eastAsia="zh-CN"/>
        </w:rPr>
        <w:t xml:space="preserve">  </w:t>
      </w:r>
      <w:r>
        <w:rPr>
          <w:rFonts w:hint="eastAsia" w:ascii="宋体" w:hAnsi="宋体" w:eastAsia="宋体" w:cs="宋体"/>
          <w:b/>
          <w:bCs/>
          <w:spacing w:val="4"/>
          <w:sz w:val="31"/>
          <w:szCs w:val="31"/>
          <w:lang w:val="en-US" w:eastAsia="zh-CN"/>
        </w:rPr>
        <w:t>2026</w:t>
      </w:r>
      <w:r>
        <w:rPr>
          <w:rFonts w:ascii="宋体" w:hAnsi="宋体" w:eastAsia="宋体" w:cs="宋体"/>
          <w:b/>
          <w:bCs/>
          <w:spacing w:val="4"/>
          <w:sz w:val="31"/>
          <w:szCs w:val="31"/>
          <w:lang w:eastAsia="zh-CN"/>
        </w:rPr>
        <w:t>年</w:t>
      </w:r>
      <w:r>
        <w:rPr>
          <w:rFonts w:hint="eastAsia" w:ascii="宋体" w:hAnsi="宋体" w:eastAsia="宋体" w:cs="宋体"/>
          <w:b/>
          <w:bCs/>
          <w:spacing w:val="4"/>
          <w:sz w:val="31"/>
          <w:szCs w:val="31"/>
          <w:lang w:val="en-US" w:eastAsia="zh-CN"/>
        </w:rPr>
        <w:t>9</w:t>
      </w:r>
      <w:r>
        <w:rPr>
          <w:rFonts w:ascii="宋体" w:hAnsi="宋体" w:eastAsia="宋体" w:cs="宋体"/>
          <w:b/>
          <w:bCs/>
          <w:spacing w:val="4"/>
          <w:sz w:val="31"/>
          <w:szCs w:val="31"/>
          <w:lang w:eastAsia="zh-CN"/>
        </w:rPr>
        <w:t>月</w:t>
      </w:r>
      <w:r>
        <w:rPr>
          <w:rFonts w:hint="eastAsia" w:ascii="宋体" w:hAnsi="宋体" w:eastAsia="宋体" w:cs="宋体"/>
          <w:b/>
          <w:bCs/>
          <w:spacing w:val="4"/>
          <w:sz w:val="31"/>
          <w:szCs w:val="31"/>
          <w:lang w:val="en-US" w:eastAsia="zh-CN"/>
        </w:rPr>
        <w:t>21</w:t>
      </w:r>
      <w:r>
        <w:rPr>
          <w:rFonts w:ascii="宋体" w:hAnsi="宋体" w:eastAsia="宋体" w:cs="宋体"/>
          <w:b/>
          <w:bCs/>
          <w:spacing w:val="4"/>
          <w:sz w:val="31"/>
          <w:szCs w:val="31"/>
          <w:lang w:eastAsia="zh-CN"/>
        </w:rPr>
        <w:t>日</w:t>
      </w:r>
    </w:p>
    <w:p w14:paraId="07DF9C0C">
      <w:pPr>
        <w:spacing w:before="101" w:line="333" w:lineRule="auto"/>
        <w:ind w:left="2512" w:leftChars="588" w:right="1262" w:hanging="1277" w:hangingChars="400"/>
        <w:rPr>
          <w:rFonts w:hint="eastAsia" w:ascii="宋体" w:hAnsi="宋体" w:eastAsia="宋体" w:cs="宋体"/>
          <w:b/>
          <w:bCs/>
          <w:spacing w:val="4"/>
          <w:sz w:val="31"/>
          <w:szCs w:val="31"/>
          <w:lang w:eastAsia="zh-CN"/>
        </w:rPr>
        <w:sectPr>
          <w:footerReference r:id="rId3" w:type="default"/>
          <w:pgSz w:w="11906" w:h="16839"/>
          <w:pgMar w:top="1431" w:right="1785" w:bottom="1362" w:left="1785" w:header="0" w:footer="1200" w:gutter="0"/>
          <w:cols w:space="720" w:num="1"/>
        </w:sectPr>
      </w:pPr>
    </w:p>
    <w:p w14:paraId="28721CDA">
      <w:pPr>
        <w:spacing w:line="360" w:lineRule="auto"/>
        <w:ind w:right="-6"/>
        <w:jc w:val="center"/>
        <w:rPr>
          <w:rFonts w:hint="eastAsia" w:ascii="黑体" w:hAnsi="黑体" w:eastAsia="黑体" w:cs="黑体"/>
          <w:sz w:val="35"/>
          <w:szCs w:val="35"/>
          <w:lang w:eastAsia="zh-CN"/>
        </w:rPr>
      </w:pPr>
      <w:r>
        <w:rPr>
          <w:rFonts w:ascii="黑体" w:hAnsi="黑体" w:eastAsia="黑体" w:cs="黑体"/>
          <w:b/>
          <w:bCs/>
          <w:spacing w:val="6"/>
          <w:sz w:val="35"/>
          <w:szCs w:val="35"/>
          <w:lang w:eastAsia="zh-CN"/>
        </w:rPr>
        <w:t>第一章</w:t>
      </w:r>
      <w:r>
        <w:rPr>
          <w:rFonts w:ascii="黑体" w:hAnsi="黑体" w:eastAsia="黑体" w:cs="黑体"/>
          <w:spacing w:val="6"/>
          <w:sz w:val="35"/>
          <w:szCs w:val="35"/>
          <w:lang w:eastAsia="zh-CN"/>
        </w:rPr>
        <w:t xml:space="preserve">   </w:t>
      </w:r>
      <w:r>
        <w:rPr>
          <w:rFonts w:ascii="黑体" w:hAnsi="黑体" w:eastAsia="黑体" w:cs="黑体"/>
          <w:b/>
          <w:bCs/>
          <w:spacing w:val="6"/>
          <w:sz w:val="35"/>
          <w:szCs w:val="35"/>
          <w:lang w:eastAsia="zh-CN"/>
        </w:rPr>
        <w:t>竞争性</w:t>
      </w:r>
      <w:r>
        <w:rPr>
          <w:rFonts w:hint="eastAsia" w:ascii="黑体" w:hAnsi="黑体" w:eastAsia="黑体" w:cs="黑体"/>
          <w:b/>
          <w:bCs/>
          <w:spacing w:val="6"/>
          <w:sz w:val="35"/>
          <w:szCs w:val="35"/>
          <w:lang w:eastAsia="zh-CN"/>
        </w:rPr>
        <w:t>谈判公告</w:t>
      </w:r>
    </w:p>
    <w:p w14:paraId="3CC99C48">
      <w:pPr>
        <w:spacing w:line="360" w:lineRule="auto"/>
        <w:ind w:right="-6"/>
        <w:rPr>
          <w:rFonts w:hint="eastAsia" w:ascii="宋体" w:hAnsi="宋体" w:eastAsia="宋体" w:cs="宋体"/>
          <w:color w:val="EE0000"/>
          <w:sz w:val="24"/>
          <w:szCs w:val="24"/>
          <w:lang w:eastAsia="zh-CN"/>
        </w:rPr>
      </w:pPr>
      <w:r>
        <w:rPr>
          <w:rFonts w:ascii="宋体" w:hAnsi="宋体" w:eastAsia="宋体" w:cs="宋体"/>
          <w:b/>
          <w:bCs/>
          <w:spacing w:val="-5"/>
          <w:sz w:val="24"/>
          <w:szCs w:val="24"/>
          <w:lang w:eastAsia="zh-CN"/>
        </w:rPr>
        <w:t>一、采购编号：</w:t>
      </w:r>
      <w:r>
        <w:rPr>
          <w:rFonts w:hint="eastAsia" w:ascii="宋体" w:hAnsi="宋体" w:eastAsia="宋体" w:cs="宋体"/>
          <w:b/>
          <w:bCs/>
          <w:spacing w:val="-5"/>
          <w:sz w:val="24"/>
          <w:szCs w:val="24"/>
          <w:lang w:eastAsia="zh-CN"/>
        </w:rPr>
        <w:t xml:space="preserve"> 117326092100</w:t>
      </w:r>
      <w:r>
        <w:rPr>
          <w:rFonts w:hint="eastAsia" w:ascii="宋体" w:hAnsi="宋体" w:eastAsia="宋体" w:cs="宋体"/>
          <w:b/>
          <w:bCs/>
          <w:spacing w:val="-5"/>
          <w:sz w:val="24"/>
          <w:szCs w:val="24"/>
          <w:lang w:val="en-US" w:eastAsia="zh-CN"/>
        </w:rPr>
        <w:t>2</w:t>
      </w:r>
      <w:bookmarkStart w:id="603" w:name="_GoBack"/>
      <w:bookmarkEnd w:id="603"/>
    </w:p>
    <w:p w14:paraId="1D7D3BC4">
      <w:pPr>
        <w:spacing w:line="360" w:lineRule="auto"/>
        <w:ind w:right="-6"/>
        <w:rPr>
          <w:rFonts w:hint="eastAsia" w:ascii="宋体" w:hAnsi="宋体" w:eastAsia="宋体" w:cs="宋体"/>
          <w:sz w:val="24"/>
          <w:szCs w:val="24"/>
          <w:lang w:eastAsia="zh-CN"/>
        </w:rPr>
      </w:pPr>
      <w:r>
        <w:rPr>
          <w:rFonts w:ascii="宋体" w:hAnsi="宋体" w:eastAsia="宋体" w:cs="宋体"/>
          <w:b/>
          <w:bCs/>
          <w:spacing w:val="-2"/>
          <w:sz w:val="24"/>
          <w:szCs w:val="24"/>
          <w:lang w:eastAsia="zh-CN"/>
        </w:rPr>
        <w:t>二、采购项目名称：</w:t>
      </w:r>
      <w:r>
        <w:rPr>
          <w:rFonts w:hint="eastAsia" w:ascii="宋体" w:hAnsi="宋体" w:eastAsia="宋体" w:cs="宋体"/>
          <w:spacing w:val="-2"/>
          <w:sz w:val="24"/>
          <w:szCs w:val="24"/>
          <w:lang w:eastAsia="zh-CN"/>
        </w:rPr>
        <w:t>山东济钢环保新材料有限公司工程造价咨询服务采购</w:t>
      </w:r>
    </w:p>
    <w:p w14:paraId="686A9E39">
      <w:pPr>
        <w:spacing w:line="360" w:lineRule="auto"/>
        <w:ind w:right="-6"/>
        <w:rPr>
          <w:rFonts w:hint="eastAsia" w:ascii="宋体" w:hAnsi="宋体" w:eastAsia="宋体" w:cs="宋体"/>
          <w:b/>
          <w:bCs/>
          <w:spacing w:val="1"/>
          <w:sz w:val="24"/>
          <w:szCs w:val="24"/>
          <w:lang w:eastAsia="zh-CN"/>
        </w:rPr>
      </w:pPr>
      <w:r>
        <w:rPr>
          <w:rFonts w:ascii="宋体" w:hAnsi="宋体" w:eastAsia="宋体" w:cs="宋体"/>
          <w:b/>
          <w:bCs/>
          <w:spacing w:val="1"/>
          <w:sz w:val="24"/>
          <w:szCs w:val="24"/>
          <w:lang w:eastAsia="zh-CN"/>
        </w:rPr>
        <w:t>三、采购项目范围：</w:t>
      </w:r>
    </w:p>
    <w:p w14:paraId="3B025E67">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1、采购内容：</w:t>
      </w:r>
    </w:p>
    <w:p w14:paraId="1ECA2685">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1</w:t>
      </w:r>
      <w:r>
        <w:rPr>
          <w:rFonts w:hint="eastAsia" w:ascii="宋体" w:hAnsi="宋体" w:eastAsia="宋体" w:cs="宋体"/>
          <w:spacing w:val="-2"/>
          <w:sz w:val="24"/>
          <w:szCs w:val="24"/>
          <w:lang w:eastAsia="zh-CN"/>
        </w:rPr>
        <w:t>）项目概算、施工图预算、招标控制价（最高投标限价）及工程量清单编制；</w:t>
      </w:r>
    </w:p>
    <w:p w14:paraId="4C348F7D">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2</w:t>
      </w:r>
      <w:r>
        <w:rPr>
          <w:rFonts w:hint="eastAsia" w:ascii="宋体" w:hAnsi="宋体" w:eastAsia="宋体" w:cs="宋体"/>
          <w:spacing w:val="-2"/>
          <w:sz w:val="24"/>
          <w:szCs w:val="24"/>
          <w:lang w:eastAsia="zh-CN"/>
        </w:rPr>
        <w:t>）工程造价过程控制与跟踪审核咨询服务，包括对工程招标文件和施工合同的商务条款提出咨询意见，审核施工图预算，协助委托人审核设计变更、现场签证、进度款审核、竣工结算审核等全过程造价咨询服务；</w:t>
      </w:r>
    </w:p>
    <w:p w14:paraId="65F38855">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3</w:t>
      </w:r>
      <w:r>
        <w:rPr>
          <w:rFonts w:hint="eastAsia" w:ascii="宋体" w:hAnsi="宋体" w:eastAsia="宋体" w:cs="宋体"/>
          <w:spacing w:val="-2"/>
          <w:sz w:val="24"/>
          <w:szCs w:val="24"/>
          <w:lang w:eastAsia="zh-CN"/>
        </w:rPr>
        <w:t>）竣工结算审核。</w:t>
      </w:r>
    </w:p>
    <w:p w14:paraId="38CF6CD6">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2、结算及支付方式：</w:t>
      </w:r>
    </w:p>
    <w:p w14:paraId="7B583A11">
      <w:pPr>
        <w:spacing w:line="360" w:lineRule="auto"/>
        <w:ind w:right="-6"/>
        <w:rPr>
          <w:rFonts w:hint="eastAsia" w:ascii="宋体" w:hAnsi="宋体" w:eastAsia="宋体" w:cs="宋体"/>
          <w:b/>
          <w:bCs/>
          <w:spacing w:val="1"/>
          <w:sz w:val="24"/>
          <w:szCs w:val="24"/>
          <w:lang w:eastAsia="zh-CN"/>
        </w:rPr>
      </w:pPr>
      <w:r>
        <w:rPr>
          <w:rFonts w:hint="eastAsia" w:ascii="宋体" w:hAnsi="宋体" w:eastAsia="宋体" w:cs="宋体"/>
          <w:b/>
          <w:bCs/>
          <w:spacing w:val="1"/>
          <w:sz w:val="24"/>
          <w:szCs w:val="24"/>
          <w:lang w:eastAsia="zh-CN"/>
        </w:rPr>
        <w:t>结算方式</w:t>
      </w:r>
    </w:p>
    <w:p w14:paraId="1F960EEF">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（1）咨询服务费以经委托人确认的成果文件（造价咨询报告）所对应的金额为计费基数，乘以成交费率计算，即：咨询费＝计费基数</w:t>
      </w:r>
      <w:r>
        <w:rPr>
          <w:rFonts w:ascii="宋体" w:hAnsi="宋体" w:eastAsia="宋体" w:cs="宋体"/>
          <w:spacing w:val="-2"/>
          <w:sz w:val="24"/>
          <w:szCs w:val="24"/>
          <w:lang w:eastAsia="zh-CN"/>
        </w:rPr>
        <w:t>×</w:t>
      </w:r>
      <w:r>
        <w:rPr>
          <w:rFonts w:hint="eastAsia" w:ascii="宋体" w:hAnsi="宋体" w:eastAsia="宋体" w:cs="宋体"/>
          <w:spacing w:val="-2"/>
          <w:sz w:val="24"/>
          <w:szCs w:val="24"/>
          <w:lang w:eastAsia="zh-CN"/>
        </w:rPr>
        <w:t>成交费率（‰）。</w:t>
      </w:r>
    </w:p>
    <w:p w14:paraId="5AC7B4AC">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（2）计费基数按服务阶段分别确定：</w:t>
      </w:r>
    </w:p>
    <w:p w14:paraId="3A6B201F">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发承包阶段（概算、预算、招标控制价、工程量清单编制）：以经委托人确认的招标控制价（或施工图预算）金额为计费基数；</w:t>
      </w:r>
    </w:p>
    <w:p w14:paraId="3ABC25D8">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实施阶段（若涉及工程计量与进度款审核、变更签证审核、过程跟踪审核等）：以当期经委托人确认的审核金额为计费基数；</w:t>
      </w:r>
    </w:p>
    <w:p w14:paraId="5F04AE7A">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竣工阶段（竣工结算审核）：以经委托人确认的竣工结算金额为计费基数。</w:t>
      </w:r>
    </w:p>
    <w:p w14:paraId="7938E021">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（3）各阶段咨询费在各阶段成果文件经委托人验收合格后，汇总后一次结算。</w:t>
      </w:r>
    </w:p>
    <w:p w14:paraId="2B72275A">
      <w:pPr>
        <w:spacing w:line="360" w:lineRule="auto"/>
        <w:ind w:right="-6"/>
        <w:rPr>
          <w:rFonts w:hint="eastAsia" w:ascii="宋体" w:hAnsi="宋体" w:eastAsia="宋体" w:cs="宋体"/>
          <w:b/>
          <w:bCs/>
          <w:spacing w:val="1"/>
          <w:sz w:val="24"/>
          <w:szCs w:val="24"/>
          <w:lang w:eastAsia="zh-CN"/>
        </w:rPr>
      </w:pPr>
      <w:r>
        <w:rPr>
          <w:rFonts w:ascii="宋体" w:hAnsi="宋体" w:eastAsia="宋体" w:cs="宋体"/>
          <w:b/>
          <w:bCs/>
          <w:spacing w:val="1"/>
          <w:sz w:val="24"/>
          <w:szCs w:val="24"/>
          <w:lang w:eastAsia="zh-CN"/>
        </w:rPr>
        <w:t>支付方式</w:t>
      </w:r>
    </w:p>
    <w:p w14:paraId="1F684400">
      <w:pPr>
        <w:spacing w:line="360" w:lineRule="auto"/>
        <w:ind w:right="-6"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各阶段咨询费按下列节点支付：</w:t>
      </w:r>
    </w:p>
    <w:p w14:paraId="14934CF5">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（1）服务期届满后，受托人完成各项目各阶段的全部咨询服务、提交全部咨询成果文件及结算资料，经委托人验收合格，且受托人开具合同金额等额、税率为</w:t>
      </w:r>
      <w:r>
        <w:rPr>
          <w:rFonts w:ascii="宋体" w:hAnsi="宋体" w:eastAsia="宋体" w:cs="宋体"/>
          <w:spacing w:val="-2"/>
          <w:sz w:val="24"/>
          <w:szCs w:val="24"/>
          <w:lang w:eastAsia="zh-CN"/>
        </w:rPr>
        <w:t>6%</w:t>
      </w:r>
      <w:r>
        <w:rPr>
          <w:rFonts w:hint="eastAsia" w:ascii="宋体" w:hAnsi="宋体" w:eastAsia="宋体" w:cs="宋体"/>
          <w:spacing w:val="-2"/>
          <w:sz w:val="24"/>
          <w:szCs w:val="24"/>
          <w:lang w:eastAsia="zh-CN"/>
        </w:rPr>
        <w:t>的增值税专用发票后，委托人自收到合格发票之日起3</w:t>
      </w:r>
      <w:r>
        <w:rPr>
          <w:rFonts w:ascii="宋体" w:hAnsi="宋体" w:eastAsia="宋体" w:cs="宋体"/>
          <w:spacing w:val="-2"/>
          <w:sz w:val="24"/>
          <w:szCs w:val="24"/>
          <w:lang w:eastAsia="zh-CN"/>
        </w:rPr>
        <w:t>0</w:t>
      </w:r>
      <w:r>
        <w:rPr>
          <w:rFonts w:hint="eastAsia" w:ascii="宋体" w:hAnsi="宋体" w:eastAsia="宋体" w:cs="宋体"/>
          <w:spacing w:val="-2"/>
          <w:sz w:val="24"/>
          <w:szCs w:val="24"/>
          <w:lang w:eastAsia="zh-CN"/>
        </w:rPr>
        <w:t>个工作日内一次性付清全部咨询费，付款方式为银行电汇。</w:t>
      </w:r>
    </w:p>
    <w:p w14:paraId="71FC219A">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（2）合同提前解除或终止的，按受托人已完成并经委托人验收合格的咨询工作量，以实际审定额为基数按成交费率据实结算，于合同解除后</w:t>
      </w:r>
      <w:r>
        <w:rPr>
          <w:rFonts w:ascii="宋体" w:hAnsi="宋体" w:eastAsia="宋体" w:cs="宋体"/>
          <w:spacing w:val="-2"/>
          <w:sz w:val="24"/>
          <w:szCs w:val="24"/>
          <w:lang w:eastAsia="zh-CN"/>
        </w:rPr>
        <w:t>30</w:t>
      </w:r>
      <w:r>
        <w:rPr>
          <w:rFonts w:hint="eastAsia" w:ascii="宋体" w:hAnsi="宋体" w:eastAsia="宋体" w:cs="宋体"/>
          <w:spacing w:val="-2"/>
          <w:sz w:val="24"/>
          <w:szCs w:val="24"/>
          <w:lang w:eastAsia="zh-CN"/>
        </w:rPr>
        <w:t>日内支付。</w:t>
      </w:r>
    </w:p>
    <w:p w14:paraId="10DDC7AD">
      <w:pPr>
        <w:spacing w:line="360" w:lineRule="auto"/>
        <w:ind w:right="-6" w:firstLine="472" w:firstLineChars="200"/>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（3）咨询成果经复核误差超过</w:t>
      </w:r>
      <w:r>
        <w:rPr>
          <w:rFonts w:ascii="宋体" w:hAnsi="宋体" w:eastAsia="宋体" w:cs="宋体"/>
          <w:spacing w:val="-2"/>
          <w:sz w:val="24"/>
          <w:szCs w:val="24"/>
          <w:lang w:eastAsia="zh-CN"/>
        </w:rPr>
        <w:t>±3%</w:t>
      </w:r>
      <w:r>
        <w:rPr>
          <w:rFonts w:hint="eastAsia" w:ascii="宋体" w:hAnsi="宋体" w:eastAsia="宋体" w:cs="宋体"/>
          <w:spacing w:val="-2"/>
          <w:sz w:val="24"/>
          <w:szCs w:val="24"/>
          <w:lang w:eastAsia="zh-CN"/>
        </w:rPr>
        <w:t>的，委托人有权按合同约定相应扣减咨询费。</w:t>
      </w:r>
    </w:p>
    <w:p w14:paraId="1CDF0D2A">
      <w:pPr>
        <w:spacing w:line="360" w:lineRule="auto"/>
        <w:ind w:right="-6"/>
        <w:rPr>
          <w:rFonts w:hint="eastAsia" w:ascii="宋体" w:hAnsi="宋体" w:eastAsia="宋体" w:cs="宋体"/>
          <w:sz w:val="24"/>
          <w:szCs w:val="24"/>
          <w:lang w:eastAsia="zh-CN"/>
        </w:rPr>
      </w:pPr>
      <w:r>
        <w:rPr>
          <w:rFonts w:ascii="宋体" w:hAnsi="宋体" w:eastAsia="宋体" w:cs="宋体"/>
          <w:b/>
          <w:bCs/>
          <w:spacing w:val="-5"/>
          <w:sz w:val="24"/>
          <w:szCs w:val="24"/>
          <w:lang w:eastAsia="zh-CN"/>
        </w:rPr>
        <w:t>四、</w:t>
      </w:r>
      <w:r>
        <w:rPr>
          <w:rFonts w:hint="eastAsia" w:ascii="宋体" w:hAnsi="宋体" w:eastAsia="宋体" w:cs="宋体"/>
          <w:b/>
          <w:bCs/>
          <w:spacing w:val="-5"/>
          <w:sz w:val="24"/>
          <w:szCs w:val="24"/>
          <w:lang w:eastAsia="zh-CN"/>
        </w:rPr>
        <w:t>服务</w:t>
      </w:r>
      <w:r>
        <w:rPr>
          <w:rFonts w:ascii="宋体" w:hAnsi="宋体" w:eastAsia="宋体" w:cs="宋体"/>
          <w:b/>
          <w:bCs/>
          <w:spacing w:val="-5"/>
          <w:sz w:val="24"/>
          <w:szCs w:val="24"/>
          <w:lang w:eastAsia="zh-CN"/>
        </w:rPr>
        <w:t>期：</w:t>
      </w:r>
      <w:r>
        <w:rPr>
          <w:rFonts w:ascii="宋体" w:hAnsi="宋体" w:eastAsia="宋体" w:cs="宋体"/>
          <w:spacing w:val="-5"/>
          <w:sz w:val="24"/>
          <w:szCs w:val="24"/>
          <w:lang w:eastAsia="zh-CN"/>
        </w:rPr>
        <w:t>本合同服务期自合同签订且收到委托人服务通知之日起，至受托人提供造价咨询服务的项目累计结算金额达到人民币2000万元之日止。若最后一个项目完成后累计结算金额超过人民币2000万元的，以该项目出具造价咨询报告，结算完成之日作为服务期届满之日。超出部分按</w:t>
      </w:r>
      <w:r>
        <w:rPr>
          <w:rFonts w:hint="eastAsia" w:ascii="宋体" w:hAnsi="宋体" w:eastAsia="宋体" w:cs="宋体"/>
          <w:spacing w:val="-5"/>
          <w:sz w:val="24"/>
          <w:szCs w:val="24"/>
          <w:lang w:eastAsia="zh-CN"/>
        </w:rPr>
        <w:t>拟签订</w:t>
      </w:r>
      <w:r>
        <w:rPr>
          <w:rFonts w:ascii="宋体" w:hAnsi="宋体" w:eastAsia="宋体" w:cs="宋体"/>
          <w:spacing w:val="-5"/>
          <w:sz w:val="24"/>
          <w:szCs w:val="24"/>
          <w:lang w:eastAsia="zh-CN"/>
        </w:rPr>
        <w:t>合同约定</w:t>
      </w:r>
      <w:r>
        <w:rPr>
          <w:rFonts w:hint="eastAsia" w:ascii="宋体" w:hAnsi="宋体" w:eastAsia="宋体" w:cs="宋体"/>
          <w:spacing w:val="-5"/>
          <w:sz w:val="24"/>
          <w:szCs w:val="24"/>
          <w:lang w:eastAsia="zh-CN"/>
        </w:rPr>
        <w:t>，另行签订补充协议</w:t>
      </w:r>
      <w:r>
        <w:rPr>
          <w:rFonts w:ascii="宋体" w:hAnsi="宋体" w:eastAsia="宋体" w:cs="宋体"/>
          <w:spacing w:val="-5"/>
          <w:sz w:val="24"/>
          <w:szCs w:val="24"/>
          <w:lang w:eastAsia="zh-CN"/>
        </w:rPr>
        <w:t>据实结算。</w:t>
      </w:r>
    </w:p>
    <w:p w14:paraId="3408BE41">
      <w:pPr>
        <w:spacing w:line="360" w:lineRule="auto"/>
        <w:ind w:right="-6"/>
        <w:rPr>
          <w:rFonts w:hint="eastAsia" w:ascii="宋体" w:hAnsi="宋体" w:eastAsia="宋体" w:cs="宋体"/>
          <w:sz w:val="24"/>
          <w:szCs w:val="24"/>
          <w:lang w:eastAsia="zh-CN"/>
        </w:rPr>
      </w:pPr>
      <w:r>
        <w:rPr>
          <w:rFonts w:ascii="宋体" w:hAnsi="宋体" w:eastAsia="宋体" w:cs="宋体"/>
          <w:b/>
          <w:bCs/>
          <w:spacing w:val="-4"/>
          <w:sz w:val="24"/>
          <w:szCs w:val="24"/>
          <w:lang w:eastAsia="zh-CN"/>
        </w:rPr>
        <w:t>五、</w:t>
      </w:r>
      <w:r>
        <w:rPr>
          <w:rFonts w:hint="eastAsia" w:ascii="宋体" w:hAnsi="宋体" w:eastAsia="宋体" w:cs="宋体"/>
          <w:b/>
          <w:bCs/>
          <w:spacing w:val="-4"/>
          <w:sz w:val="24"/>
          <w:szCs w:val="24"/>
          <w:lang w:eastAsia="zh-CN"/>
        </w:rPr>
        <w:t>供应商</w:t>
      </w:r>
      <w:r>
        <w:rPr>
          <w:rFonts w:ascii="宋体" w:hAnsi="宋体" w:eastAsia="宋体" w:cs="宋体"/>
          <w:b/>
          <w:bCs/>
          <w:spacing w:val="-4"/>
          <w:sz w:val="24"/>
          <w:szCs w:val="24"/>
          <w:lang w:eastAsia="zh-CN"/>
        </w:rPr>
        <w:t>资格要求</w:t>
      </w:r>
    </w:p>
    <w:p w14:paraId="4E778DB8">
      <w:pPr>
        <w:spacing w:line="360" w:lineRule="auto"/>
        <w:ind w:right="-6" w:firstLine="472" w:firstLineChars="200"/>
        <w:rPr>
          <w:rFonts w:hint="eastAsia" w:ascii="宋体" w:hAnsi="宋体" w:eastAsia="宋体" w:cs="宋体"/>
          <w:spacing w:val="-2"/>
          <w:sz w:val="24"/>
          <w:szCs w:val="24"/>
          <w:lang w:eastAsia="zh-CN"/>
        </w:rPr>
      </w:pPr>
      <w:r>
        <w:rPr>
          <w:rFonts w:ascii="宋体" w:hAnsi="宋体" w:eastAsia="宋体" w:cs="宋体"/>
          <w:spacing w:val="-2"/>
          <w:sz w:val="24"/>
          <w:szCs w:val="24"/>
          <w:lang w:eastAsia="zh-CN"/>
        </w:rPr>
        <w:t>1、资质要求：依法成立，具有法人资格和一般纳税人资格</w:t>
      </w:r>
      <w:r>
        <w:rPr>
          <w:rFonts w:hint="eastAsia" w:ascii="宋体" w:hAnsi="宋体" w:eastAsia="宋体" w:cs="宋体"/>
          <w:spacing w:val="-2"/>
          <w:sz w:val="24"/>
          <w:szCs w:val="24"/>
          <w:lang w:eastAsia="zh-CN"/>
        </w:rPr>
        <w:t>，其营业执照中经营范围应当包含造价咨询，工程造价等业务范围</w:t>
      </w:r>
      <w:r>
        <w:rPr>
          <w:rFonts w:ascii="宋体" w:hAnsi="宋体" w:eastAsia="宋体" w:cs="宋体"/>
          <w:spacing w:val="-2"/>
          <w:sz w:val="24"/>
          <w:szCs w:val="24"/>
          <w:lang w:eastAsia="zh-CN"/>
        </w:rPr>
        <w:t>；</w:t>
      </w:r>
    </w:p>
    <w:p w14:paraId="5B8497F8">
      <w:pPr>
        <w:spacing w:line="360" w:lineRule="auto"/>
        <w:ind w:right="-6"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2、近三年（2023年9月-至今）完成过类似工程3个（单个项目审定额2000万元及以上）的业绩（需要提供相应证明性资料）；</w:t>
      </w:r>
    </w:p>
    <w:p w14:paraId="08C6F3EB">
      <w:pPr>
        <w:spacing w:line="360" w:lineRule="auto"/>
        <w:ind w:right="-6"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3、财务状况及经营业绩良好；</w:t>
      </w:r>
    </w:p>
    <w:p w14:paraId="53882449">
      <w:pPr>
        <w:spacing w:line="360" w:lineRule="auto"/>
        <w:ind w:right="-6"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4、具有履行合同必需的装备、专业技术、资质能力，</w:t>
      </w:r>
      <w:r>
        <w:rPr>
          <w:rFonts w:ascii="宋体" w:hAnsi="宋体" w:eastAsia="宋体" w:cs="宋体"/>
          <w:spacing w:val="-1"/>
          <w:sz w:val="24"/>
          <w:szCs w:val="24"/>
          <w:lang w:eastAsia="zh-CN"/>
        </w:rPr>
        <w:t>配备相关</w:t>
      </w:r>
      <w:r>
        <w:rPr>
          <w:rFonts w:hint="eastAsia" w:ascii="宋体" w:hAnsi="宋体" w:eastAsia="宋体" w:cs="宋体"/>
          <w:spacing w:val="-1"/>
          <w:sz w:val="24"/>
          <w:szCs w:val="24"/>
          <w:lang w:eastAsia="zh-CN"/>
        </w:rPr>
        <w:t>造价咨询</w:t>
      </w:r>
      <w:r>
        <w:rPr>
          <w:rFonts w:ascii="宋体" w:hAnsi="宋体" w:eastAsia="宋体" w:cs="宋体"/>
          <w:spacing w:val="-1"/>
          <w:sz w:val="24"/>
          <w:szCs w:val="24"/>
          <w:lang w:eastAsia="zh-CN"/>
        </w:rPr>
        <w:t>专业</w:t>
      </w:r>
      <w:r>
        <w:rPr>
          <w:rFonts w:hint="eastAsia" w:ascii="宋体" w:hAnsi="宋体" w:eastAsia="宋体" w:cs="宋体"/>
          <w:spacing w:val="-1"/>
          <w:sz w:val="24"/>
          <w:szCs w:val="24"/>
          <w:lang w:eastAsia="zh-CN"/>
        </w:rPr>
        <w:t>执业</w:t>
      </w:r>
      <w:r>
        <w:rPr>
          <w:rFonts w:ascii="宋体" w:hAnsi="宋体" w:eastAsia="宋体" w:cs="宋体"/>
          <w:spacing w:val="-1"/>
          <w:sz w:val="24"/>
          <w:szCs w:val="24"/>
          <w:lang w:eastAsia="zh-CN"/>
        </w:rPr>
        <w:t>人员</w:t>
      </w:r>
      <w:r>
        <w:rPr>
          <w:rFonts w:hint="eastAsia" w:ascii="宋体" w:hAnsi="宋体" w:eastAsia="宋体" w:cs="宋体"/>
          <w:spacing w:val="-1"/>
          <w:sz w:val="24"/>
          <w:szCs w:val="24"/>
          <w:lang w:eastAsia="zh-CN"/>
        </w:rPr>
        <w:t>并</w:t>
      </w:r>
      <w:r>
        <w:rPr>
          <w:rFonts w:ascii="宋体" w:hAnsi="宋体" w:eastAsia="宋体" w:cs="宋体"/>
          <w:spacing w:val="-1"/>
          <w:sz w:val="24"/>
          <w:szCs w:val="24"/>
          <w:lang w:eastAsia="zh-CN"/>
        </w:rPr>
        <w:t>具备协调能力</w:t>
      </w:r>
      <w:r>
        <w:rPr>
          <w:rFonts w:hint="eastAsia" w:ascii="宋体" w:hAnsi="宋体" w:eastAsia="宋体" w:cs="宋体"/>
          <w:spacing w:val="-1"/>
          <w:sz w:val="24"/>
          <w:szCs w:val="24"/>
          <w:lang w:eastAsia="zh-CN"/>
        </w:rPr>
        <w:t>。</w:t>
      </w:r>
    </w:p>
    <w:p w14:paraId="28E4DAEA">
      <w:pPr>
        <w:spacing w:line="360" w:lineRule="auto"/>
        <w:ind w:right="-6"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5、受托人须遵守中华人民共和国有关法律、法规，无重大违法违约行为。“通过“信用中国”网站（www.creditchina.gov.cn）、中国政府招标网（www.ccgp.gov.cn）查询，未被列入失信被执行人、重大税收违法案件当事人、政府招标严重违法失信行为记录名单”，提供查询截屏；</w:t>
      </w:r>
    </w:p>
    <w:p w14:paraId="6EAF070A">
      <w:pPr>
        <w:spacing w:line="360" w:lineRule="auto"/>
        <w:ind w:right="-6" w:firstLine="476" w:firstLineChars="200"/>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6、如有单位资料造假，一经发现，立即在网上公示，并永久取消其参与招标或非招标采购方式的资格</w:t>
      </w:r>
      <w:r>
        <w:rPr>
          <w:rFonts w:ascii="宋体" w:hAnsi="宋体" w:eastAsia="宋体" w:cs="宋体"/>
          <w:spacing w:val="-1"/>
          <w:sz w:val="24"/>
          <w:szCs w:val="24"/>
          <w:lang w:eastAsia="zh-CN"/>
        </w:rPr>
        <w:t>。</w:t>
      </w:r>
    </w:p>
    <w:p w14:paraId="4BAE0823">
      <w:pPr>
        <w:spacing w:before="184" w:line="218" w:lineRule="auto"/>
        <w:ind w:left="4"/>
        <w:rPr>
          <w:rFonts w:hint="eastAsia" w:ascii="宋体" w:hAnsi="宋体" w:eastAsia="宋体" w:cs="宋体"/>
          <w:sz w:val="24"/>
          <w:szCs w:val="24"/>
          <w:lang w:eastAsia="zh-CN"/>
        </w:rPr>
      </w:pPr>
      <w:r>
        <w:rPr>
          <w:rFonts w:ascii="宋体" w:hAnsi="宋体" w:eastAsia="宋体" w:cs="宋体"/>
          <w:b/>
          <w:bCs/>
          <w:spacing w:val="-4"/>
          <w:sz w:val="24"/>
          <w:szCs w:val="24"/>
          <w:lang w:eastAsia="zh-CN"/>
        </w:rPr>
        <w:t>六、公告和报名</w:t>
      </w:r>
    </w:p>
    <w:p w14:paraId="6E7B0A24">
      <w:pPr>
        <w:spacing w:before="184" w:line="287" w:lineRule="auto"/>
        <w:ind w:firstLine="500"/>
        <w:rPr>
          <w:rFonts w:hint="eastAsia" w:ascii="宋体" w:hAnsi="宋体" w:eastAsia="宋体" w:cs="宋体"/>
          <w:color w:val="auto"/>
          <w:sz w:val="24"/>
          <w:szCs w:val="24"/>
          <w:lang w:eastAsia="zh-CN"/>
        </w:rPr>
      </w:pPr>
      <w:r>
        <w:rPr>
          <w:rFonts w:ascii="宋体" w:hAnsi="宋体" w:eastAsia="宋体" w:cs="宋体"/>
          <w:spacing w:val="-3"/>
          <w:sz w:val="24"/>
          <w:szCs w:val="24"/>
          <w:lang w:eastAsia="zh-CN"/>
        </w:rPr>
        <w:t>1、报名方式：通过登录济钢集团有限公司阳光购销平台网上报名，</w:t>
      </w:r>
      <w:r>
        <w:rPr>
          <w:rFonts w:ascii="宋体" w:hAnsi="宋体" w:eastAsia="宋体" w:cs="宋体"/>
          <w:spacing w:val="-4"/>
          <w:sz w:val="24"/>
          <w:szCs w:val="24"/>
          <w:lang w:eastAsia="zh-CN"/>
        </w:rPr>
        <w:t>平台网址：</w:t>
      </w:r>
      <w:r>
        <w:rPr>
          <w:rFonts w:ascii="宋体" w:hAnsi="宋体" w:eastAsia="宋体" w:cs="宋体"/>
          <w:sz w:val="24"/>
          <w:szCs w:val="24"/>
          <w:lang w:eastAsia="zh-CN"/>
        </w:rPr>
        <w:t xml:space="preserve"> </w:t>
      </w:r>
      <w:r>
        <w:rPr>
          <w:color w:val="auto"/>
        </w:rPr>
        <w:fldChar w:fldCharType="begin"/>
      </w:r>
      <w:r>
        <w:rPr>
          <w:color w:val="auto"/>
        </w:rPr>
        <w:instrText xml:space="preserve"> HYPERLINK "http://bidding.jigang.com.cn" </w:instrText>
      </w:r>
      <w:r>
        <w:rPr>
          <w:color w:val="auto"/>
        </w:rPr>
        <w:fldChar w:fldCharType="separate"/>
      </w:r>
      <w:r>
        <w:rPr>
          <w:rFonts w:ascii="宋体" w:hAnsi="宋体" w:eastAsia="宋体" w:cs="宋体"/>
          <w:color w:val="auto"/>
          <w:sz w:val="24"/>
          <w:szCs w:val="24"/>
          <w:lang w:eastAsia="zh-CN"/>
        </w:rPr>
        <w:t>http://bidding.jigang.</w:t>
      </w:r>
      <w:r>
        <w:rPr>
          <w:rFonts w:ascii="宋体" w:hAnsi="宋体" w:eastAsia="宋体" w:cs="宋体"/>
          <w:color w:val="auto"/>
          <w:spacing w:val="-1"/>
          <w:sz w:val="24"/>
          <w:szCs w:val="24"/>
          <w:lang w:eastAsia="zh-CN"/>
        </w:rPr>
        <w:t>com.cn</w:t>
      </w:r>
      <w:r>
        <w:rPr>
          <w:rFonts w:ascii="宋体" w:hAnsi="宋体" w:eastAsia="宋体" w:cs="宋体"/>
          <w:color w:val="auto"/>
          <w:spacing w:val="-1"/>
          <w:sz w:val="24"/>
          <w:szCs w:val="24"/>
          <w:lang w:eastAsia="zh-CN"/>
        </w:rPr>
        <w:fldChar w:fldCharType="end"/>
      </w:r>
      <w:r>
        <w:rPr>
          <w:rFonts w:ascii="宋体" w:hAnsi="宋体" w:eastAsia="宋体" w:cs="宋体"/>
          <w:color w:val="auto"/>
          <w:spacing w:val="-1"/>
          <w:sz w:val="24"/>
          <w:szCs w:val="24"/>
          <w:lang w:eastAsia="zh-CN"/>
        </w:rPr>
        <w:t>/；</w:t>
      </w:r>
    </w:p>
    <w:p w14:paraId="014108B5">
      <w:pPr>
        <w:spacing w:before="191" w:line="218" w:lineRule="auto"/>
        <w:ind w:left="48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2、公告和报名时间：</w:t>
      </w:r>
      <w:r>
        <w:rPr>
          <w:rFonts w:hint="eastAsia" w:ascii="宋体" w:hAnsi="宋体" w:eastAsia="宋体" w:cs="宋体"/>
          <w:color w:val="auto"/>
          <w:spacing w:val="-7"/>
          <w:sz w:val="24"/>
          <w:szCs w:val="24"/>
          <w:lang w:val="en-US" w:eastAsia="zh-CN"/>
        </w:rPr>
        <w:t>2026</w:t>
      </w:r>
      <w:r>
        <w:rPr>
          <w:rFonts w:ascii="宋体" w:hAnsi="宋体" w:eastAsia="宋体" w:cs="宋体"/>
          <w:color w:val="auto"/>
          <w:spacing w:val="-7"/>
          <w:sz w:val="24"/>
          <w:szCs w:val="24"/>
          <w:lang w:eastAsia="zh-CN"/>
        </w:rPr>
        <w:t>年</w:t>
      </w:r>
      <w:r>
        <w:rPr>
          <w:rFonts w:hint="eastAsia" w:ascii="宋体" w:hAnsi="宋体" w:eastAsia="宋体" w:cs="宋体"/>
          <w:color w:val="auto"/>
          <w:spacing w:val="-7"/>
          <w:sz w:val="24"/>
          <w:szCs w:val="24"/>
          <w:lang w:val="en-US" w:eastAsia="zh-CN"/>
        </w:rPr>
        <w:t>9</w:t>
      </w:r>
      <w:r>
        <w:rPr>
          <w:rFonts w:ascii="宋体" w:hAnsi="宋体" w:eastAsia="宋体" w:cs="宋体"/>
          <w:color w:val="auto"/>
          <w:spacing w:val="-7"/>
          <w:sz w:val="24"/>
          <w:szCs w:val="24"/>
          <w:lang w:eastAsia="zh-CN"/>
        </w:rPr>
        <w:t>月</w:t>
      </w:r>
      <w:r>
        <w:rPr>
          <w:rFonts w:hint="eastAsia" w:ascii="宋体" w:hAnsi="宋体" w:eastAsia="宋体" w:cs="宋体"/>
          <w:color w:val="auto"/>
          <w:spacing w:val="-7"/>
          <w:sz w:val="24"/>
          <w:szCs w:val="24"/>
          <w:lang w:val="en-US" w:eastAsia="zh-CN"/>
        </w:rPr>
        <w:t>21</w:t>
      </w:r>
      <w:r>
        <w:rPr>
          <w:rFonts w:ascii="宋体" w:hAnsi="宋体" w:eastAsia="宋体" w:cs="宋体"/>
          <w:color w:val="auto"/>
          <w:spacing w:val="-7"/>
          <w:sz w:val="24"/>
          <w:szCs w:val="24"/>
          <w:lang w:eastAsia="zh-CN"/>
        </w:rPr>
        <w:t>日～</w:t>
      </w:r>
      <w:r>
        <w:rPr>
          <w:rFonts w:hint="eastAsia" w:ascii="宋体" w:hAnsi="宋体" w:eastAsia="宋体" w:cs="宋体"/>
          <w:color w:val="auto"/>
          <w:spacing w:val="-7"/>
          <w:sz w:val="24"/>
          <w:szCs w:val="24"/>
          <w:lang w:val="en-US" w:eastAsia="zh-CN"/>
        </w:rPr>
        <w:t>2026</w:t>
      </w:r>
      <w:r>
        <w:rPr>
          <w:rFonts w:ascii="宋体" w:hAnsi="宋体" w:eastAsia="宋体" w:cs="宋体"/>
          <w:color w:val="auto"/>
          <w:spacing w:val="-7"/>
          <w:sz w:val="24"/>
          <w:szCs w:val="24"/>
          <w:lang w:eastAsia="zh-CN"/>
        </w:rPr>
        <w:t>年</w:t>
      </w:r>
      <w:r>
        <w:rPr>
          <w:rFonts w:hint="eastAsia" w:ascii="宋体" w:hAnsi="宋体" w:eastAsia="宋体" w:cs="宋体"/>
          <w:color w:val="auto"/>
          <w:spacing w:val="-7"/>
          <w:sz w:val="24"/>
          <w:szCs w:val="24"/>
          <w:lang w:val="en-US" w:eastAsia="zh-CN"/>
        </w:rPr>
        <w:t>9</w:t>
      </w:r>
      <w:r>
        <w:rPr>
          <w:rFonts w:ascii="宋体" w:hAnsi="宋体" w:eastAsia="宋体" w:cs="宋体"/>
          <w:color w:val="auto"/>
          <w:spacing w:val="-7"/>
          <w:sz w:val="24"/>
          <w:szCs w:val="24"/>
          <w:lang w:eastAsia="zh-CN"/>
        </w:rPr>
        <w:t>月</w:t>
      </w:r>
      <w:r>
        <w:rPr>
          <w:rFonts w:hint="eastAsia" w:ascii="宋体" w:hAnsi="宋体" w:eastAsia="宋体" w:cs="宋体"/>
          <w:color w:val="auto"/>
          <w:spacing w:val="-7"/>
          <w:sz w:val="24"/>
          <w:szCs w:val="24"/>
          <w:lang w:val="en-US" w:eastAsia="zh-CN"/>
        </w:rPr>
        <w:t>26</w:t>
      </w:r>
      <w:r>
        <w:rPr>
          <w:rFonts w:ascii="宋体" w:hAnsi="宋体" w:eastAsia="宋体" w:cs="宋体"/>
          <w:color w:val="auto"/>
          <w:spacing w:val="-7"/>
          <w:sz w:val="24"/>
          <w:szCs w:val="24"/>
          <w:lang w:eastAsia="zh-CN"/>
        </w:rPr>
        <w:t>日</w:t>
      </w:r>
      <w:r>
        <w:rPr>
          <w:rFonts w:ascii="宋体" w:hAnsi="宋体" w:eastAsia="宋体" w:cs="宋体"/>
          <w:color w:val="auto"/>
          <w:spacing w:val="-8"/>
          <w:sz w:val="24"/>
          <w:szCs w:val="24"/>
          <w:lang w:eastAsia="zh-CN"/>
        </w:rPr>
        <w:t>（北京时间）。</w:t>
      </w:r>
    </w:p>
    <w:p w14:paraId="36F7C486">
      <w:pPr>
        <w:spacing w:before="184" w:line="220" w:lineRule="auto"/>
        <w:ind w:left="1"/>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七、谈判时间和方式</w:t>
      </w:r>
    </w:p>
    <w:p w14:paraId="5A3B0812">
      <w:pPr>
        <w:spacing w:before="183" w:line="219" w:lineRule="auto"/>
        <w:ind w:left="500"/>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1、谈判时间：</w:t>
      </w:r>
      <w:r>
        <w:rPr>
          <w:rFonts w:hint="eastAsia" w:ascii="宋体" w:hAnsi="宋体" w:eastAsia="宋体" w:cs="宋体"/>
          <w:color w:val="auto"/>
          <w:spacing w:val="-9"/>
          <w:sz w:val="24"/>
          <w:szCs w:val="24"/>
          <w:lang w:eastAsia="zh-CN"/>
        </w:rPr>
        <w:t xml:space="preserve"> </w:t>
      </w:r>
      <w:r>
        <w:rPr>
          <w:rFonts w:hint="eastAsia" w:ascii="宋体" w:hAnsi="宋体" w:eastAsia="宋体" w:cs="宋体"/>
          <w:color w:val="auto"/>
          <w:spacing w:val="-9"/>
          <w:sz w:val="24"/>
          <w:szCs w:val="24"/>
          <w:lang w:val="en-US" w:eastAsia="zh-CN"/>
        </w:rPr>
        <w:t>2026</w:t>
      </w:r>
      <w:r>
        <w:rPr>
          <w:rFonts w:ascii="宋体" w:hAnsi="宋体" w:eastAsia="宋体" w:cs="宋体"/>
          <w:color w:val="auto"/>
          <w:spacing w:val="-9"/>
          <w:sz w:val="24"/>
          <w:szCs w:val="24"/>
          <w:lang w:eastAsia="zh-CN"/>
        </w:rPr>
        <w:t>年</w:t>
      </w:r>
      <w:r>
        <w:rPr>
          <w:rFonts w:hint="eastAsia" w:ascii="宋体" w:hAnsi="宋体" w:eastAsia="宋体" w:cs="宋体"/>
          <w:color w:val="auto"/>
          <w:spacing w:val="-33"/>
          <w:sz w:val="24"/>
          <w:szCs w:val="24"/>
          <w:lang w:val="en-US" w:eastAsia="zh-CN"/>
        </w:rPr>
        <w:t>9</w:t>
      </w:r>
      <w:r>
        <w:rPr>
          <w:rFonts w:hint="eastAsia" w:ascii="宋体" w:hAnsi="宋体" w:eastAsia="宋体" w:cs="宋体"/>
          <w:color w:val="auto"/>
          <w:spacing w:val="-33"/>
          <w:sz w:val="24"/>
          <w:szCs w:val="24"/>
          <w:lang w:eastAsia="zh-CN"/>
        </w:rPr>
        <w:t xml:space="preserve"> </w:t>
      </w:r>
      <w:r>
        <w:rPr>
          <w:rFonts w:ascii="宋体" w:hAnsi="宋体" w:eastAsia="宋体" w:cs="宋体"/>
          <w:color w:val="auto"/>
          <w:spacing w:val="-9"/>
          <w:sz w:val="24"/>
          <w:szCs w:val="24"/>
          <w:lang w:eastAsia="zh-CN"/>
        </w:rPr>
        <w:t>月</w:t>
      </w:r>
      <w:r>
        <w:rPr>
          <w:rFonts w:hint="eastAsia" w:ascii="宋体" w:hAnsi="宋体" w:eastAsia="宋体" w:cs="宋体"/>
          <w:color w:val="auto"/>
          <w:spacing w:val="-9"/>
          <w:sz w:val="24"/>
          <w:szCs w:val="24"/>
          <w:lang w:val="en-US" w:eastAsia="zh-CN"/>
        </w:rPr>
        <w:t>29</w:t>
      </w:r>
      <w:r>
        <w:rPr>
          <w:rFonts w:ascii="宋体" w:hAnsi="宋体" w:eastAsia="宋体" w:cs="宋体"/>
          <w:color w:val="auto"/>
          <w:spacing w:val="-9"/>
          <w:sz w:val="24"/>
          <w:szCs w:val="24"/>
          <w:lang w:eastAsia="zh-CN"/>
        </w:rPr>
        <w:t>日</w:t>
      </w:r>
      <w:r>
        <w:rPr>
          <w:rFonts w:hint="eastAsia" w:ascii="宋体" w:hAnsi="宋体" w:eastAsia="宋体" w:cs="宋体"/>
          <w:color w:val="auto"/>
          <w:spacing w:val="-9"/>
          <w:sz w:val="24"/>
          <w:szCs w:val="24"/>
          <w:lang w:eastAsia="zh-CN"/>
        </w:rPr>
        <w:t xml:space="preserve">上午 </w:t>
      </w:r>
      <w:r>
        <w:rPr>
          <w:rFonts w:hint="eastAsia" w:ascii="宋体" w:hAnsi="宋体" w:eastAsia="宋体" w:cs="宋体"/>
          <w:color w:val="auto"/>
          <w:spacing w:val="-9"/>
          <w:sz w:val="24"/>
          <w:szCs w:val="24"/>
          <w:lang w:val="en-US" w:eastAsia="zh-CN"/>
        </w:rPr>
        <w:t>8</w:t>
      </w:r>
      <w:r>
        <w:rPr>
          <w:rFonts w:ascii="宋体" w:hAnsi="宋体" w:eastAsia="宋体" w:cs="宋体"/>
          <w:color w:val="auto"/>
          <w:spacing w:val="-9"/>
          <w:sz w:val="24"/>
          <w:szCs w:val="24"/>
          <w:lang w:eastAsia="zh-CN"/>
        </w:rPr>
        <w:t>点</w:t>
      </w:r>
      <w:r>
        <w:rPr>
          <w:rFonts w:hint="eastAsia" w:ascii="宋体" w:hAnsi="宋体" w:eastAsia="宋体" w:cs="宋体"/>
          <w:color w:val="auto"/>
          <w:spacing w:val="-9"/>
          <w:sz w:val="24"/>
          <w:szCs w:val="24"/>
          <w:lang w:val="en-US" w:eastAsia="zh-CN"/>
        </w:rPr>
        <w:t>30分</w:t>
      </w:r>
      <w:r>
        <w:rPr>
          <w:rFonts w:ascii="宋体" w:hAnsi="宋体" w:eastAsia="宋体" w:cs="宋体"/>
          <w:color w:val="auto"/>
          <w:spacing w:val="-9"/>
          <w:sz w:val="24"/>
          <w:szCs w:val="24"/>
          <w:lang w:eastAsia="zh-CN"/>
        </w:rPr>
        <w:t>；</w:t>
      </w:r>
    </w:p>
    <w:p w14:paraId="25B1731B">
      <w:pPr>
        <w:spacing w:before="183" w:line="290" w:lineRule="auto"/>
        <w:ind w:left="6" w:right="2357" w:firstLine="479"/>
        <w:rPr>
          <w:rFonts w:hint="eastAsia" w:ascii="宋体" w:hAnsi="宋体" w:eastAsia="宋体" w:cs="宋体"/>
          <w:sz w:val="24"/>
          <w:szCs w:val="24"/>
          <w:lang w:eastAsia="zh-CN"/>
        </w:rPr>
      </w:pPr>
      <w:r>
        <w:rPr>
          <w:rFonts w:ascii="宋体" w:hAnsi="宋体" w:eastAsia="宋体" w:cs="宋体"/>
          <w:color w:val="auto"/>
          <w:spacing w:val="-2"/>
          <w:sz w:val="24"/>
          <w:szCs w:val="24"/>
          <w:lang w:eastAsia="zh-CN"/>
        </w:rPr>
        <w:t>2、谈判方式：网上谈判，谈判时无需供应商到</w:t>
      </w:r>
      <w:r>
        <w:rPr>
          <w:rFonts w:ascii="宋体" w:hAnsi="宋体" w:eastAsia="宋体" w:cs="宋体"/>
          <w:color w:val="auto"/>
          <w:spacing w:val="-3"/>
          <w:sz w:val="24"/>
          <w:szCs w:val="24"/>
          <w:lang w:eastAsia="zh-CN"/>
        </w:rPr>
        <w:t>达现场</w:t>
      </w:r>
      <w:r>
        <w:rPr>
          <w:rFonts w:ascii="宋体" w:hAnsi="宋体" w:eastAsia="宋体" w:cs="宋体"/>
          <w:color w:val="auto"/>
          <w:sz w:val="24"/>
          <w:szCs w:val="24"/>
          <w:lang w:eastAsia="zh-CN"/>
        </w:rPr>
        <w:t xml:space="preserve"> </w:t>
      </w:r>
      <w:r>
        <w:rPr>
          <w:rFonts w:ascii="宋体" w:hAnsi="宋体" w:eastAsia="宋体" w:cs="宋体"/>
          <w:b/>
          <w:bCs/>
          <w:spacing w:val="-2"/>
          <w:sz w:val="24"/>
          <w:szCs w:val="24"/>
          <w:lang w:eastAsia="zh-CN"/>
        </w:rPr>
        <w:t>八、谈判保证金：</w:t>
      </w:r>
      <w:r>
        <w:rPr>
          <w:rFonts w:ascii="宋体" w:hAnsi="宋体" w:eastAsia="宋体" w:cs="宋体"/>
          <w:spacing w:val="-2"/>
          <w:sz w:val="24"/>
          <w:szCs w:val="24"/>
          <w:lang w:eastAsia="zh-CN"/>
        </w:rPr>
        <w:t>无</w:t>
      </w:r>
    </w:p>
    <w:p w14:paraId="2399A11C">
      <w:pPr>
        <w:spacing w:before="182" w:line="219" w:lineRule="auto"/>
        <w:ind w:left="8"/>
        <w:rPr>
          <w:rFonts w:hint="eastAsia" w:ascii="宋体" w:hAnsi="宋体" w:eastAsia="宋体" w:cs="宋体"/>
          <w:sz w:val="24"/>
          <w:szCs w:val="24"/>
          <w:lang w:eastAsia="zh-CN"/>
        </w:rPr>
      </w:pPr>
      <w:r>
        <w:rPr>
          <w:rFonts w:ascii="宋体" w:hAnsi="宋体" w:eastAsia="宋体" w:cs="宋体"/>
          <w:b/>
          <w:bCs/>
          <w:spacing w:val="-4"/>
          <w:sz w:val="24"/>
          <w:szCs w:val="24"/>
          <w:lang w:eastAsia="zh-CN"/>
        </w:rPr>
        <w:t>九、谈判文件的获取方式</w:t>
      </w:r>
    </w:p>
    <w:p w14:paraId="57C681E4">
      <w:pPr>
        <w:spacing w:before="183" w:line="313" w:lineRule="auto"/>
        <w:ind w:left="3" w:right="59" w:firstLine="496"/>
        <w:jc w:val="both"/>
        <w:rPr>
          <w:rFonts w:hint="eastAsia" w:ascii="宋体" w:hAnsi="宋体" w:eastAsia="宋体" w:cs="宋体"/>
          <w:sz w:val="24"/>
          <w:szCs w:val="24"/>
          <w:lang w:eastAsia="zh-CN"/>
        </w:rPr>
      </w:pPr>
      <w:r>
        <w:rPr>
          <w:rFonts w:ascii="宋体" w:hAnsi="宋体" w:eastAsia="宋体" w:cs="宋体"/>
          <w:spacing w:val="2"/>
          <w:sz w:val="24"/>
          <w:szCs w:val="24"/>
          <w:lang w:eastAsia="zh-CN"/>
        </w:rPr>
        <w:t>1、获取方式：凡有意参加的潜在供应商，在公告期内登陆：济钢集团有限公</w:t>
      </w:r>
      <w:r>
        <w:rPr>
          <w:rFonts w:ascii="宋体" w:hAnsi="宋体" w:eastAsia="宋体" w:cs="宋体"/>
          <w:spacing w:val="-2"/>
          <w:sz w:val="24"/>
          <w:szCs w:val="24"/>
          <w:lang w:eastAsia="zh-CN"/>
        </w:rPr>
        <w:t>司阳光购销平台</w:t>
      </w:r>
      <w:r>
        <w:rPr>
          <w:rFonts w:ascii="宋体" w:hAnsi="宋体" w:eastAsia="宋体" w:cs="宋体"/>
          <w:spacing w:val="-51"/>
          <w:sz w:val="24"/>
          <w:szCs w:val="24"/>
          <w:lang w:eastAsia="zh-CN"/>
        </w:rPr>
        <w:t xml:space="preserve"> </w:t>
      </w:r>
      <w:r>
        <w:fldChar w:fldCharType="begin"/>
      </w:r>
      <w:r>
        <w:instrText xml:space="preserve"> HYPERLINK "http://bidding.jigang.com.cn" </w:instrText>
      </w:r>
      <w:r>
        <w:fldChar w:fldCharType="separate"/>
      </w:r>
      <w:r>
        <w:rPr>
          <w:rFonts w:ascii="宋体" w:hAnsi="宋体" w:eastAsia="宋体" w:cs="宋体"/>
          <w:spacing w:val="-2"/>
          <w:sz w:val="24"/>
          <w:szCs w:val="24"/>
          <w:lang w:eastAsia="zh-CN"/>
        </w:rPr>
        <w:t>http://bidding.jigang.com.cn</w:t>
      </w:r>
      <w:r>
        <w:rPr>
          <w:rFonts w:ascii="宋体" w:hAnsi="宋体" w:eastAsia="宋体" w:cs="宋体"/>
          <w:spacing w:val="-2"/>
          <w:sz w:val="24"/>
          <w:szCs w:val="24"/>
          <w:lang w:eastAsia="zh-CN"/>
        </w:rPr>
        <w:fldChar w:fldCharType="end"/>
      </w:r>
      <w:r>
        <w:rPr>
          <w:rFonts w:ascii="宋体" w:hAnsi="宋体" w:eastAsia="宋体" w:cs="宋体"/>
          <w:spacing w:val="-2"/>
          <w:sz w:val="24"/>
          <w:szCs w:val="24"/>
          <w:lang w:eastAsia="zh-CN"/>
        </w:rPr>
        <w:t>/，注册用户成功后，须修改初始</w:t>
      </w:r>
      <w:r>
        <w:rPr>
          <w:rFonts w:ascii="宋体" w:hAnsi="宋体" w:eastAsia="宋体" w:cs="宋体"/>
          <w:spacing w:val="-1"/>
          <w:sz w:val="24"/>
          <w:szCs w:val="24"/>
          <w:lang w:eastAsia="zh-CN"/>
        </w:rPr>
        <w:t>密码，重新登录后报名，报名成功后即可下载谈判文件；</w:t>
      </w:r>
    </w:p>
    <w:p w14:paraId="7571F60B">
      <w:pPr>
        <w:spacing w:before="183" w:line="218" w:lineRule="auto"/>
        <w:ind w:left="485"/>
        <w:rPr>
          <w:rFonts w:hint="eastAsia" w:ascii="宋体" w:hAnsi="宋体" w:eastAsia="宋体" w:cs="宋体"/>
          <w:sz w:val="24"/>
          <w:szCs w:val="24"/>
          <w:lang w:eastAsia="zh-CN"/>
        </w:rPr>
      </w:pPr>
      <w:r>
        <w:rPr>
          <w:rFonts w:ascii="宋体" w:hAnsi="宋体" w:eastAsia="宋体" w:cs="宋体"/>
          <w:spacing w:val="-2"/>
          <w:sz w:val="24"/>
          <w:szCs w:val="24"/>
          <w:lang w:eastAsia="zh-CN"/>
        </w:rPr>
        <w:t>2、售价：免费。</w:t>
      </w:r>
    </w:p>
    <w:p w14:paraId="2FF90B9E">
      <w:pPr>
        <w:spacing w:before="185" w:line="219" w:lineRule="auto"/>
        <w:ind w:left="3"/>
        <w:rPr>
          <w:rFonts w:hint="eastAsia" w:ascii="宋体" w:hAnsi="宋体" w:eastAsia="宋体" w:cs="宋体"/>
          <w:sz w:val="24"/>
          <w:szCs w:val="24"/>
          <w:lang w:eastAsia="zh-CN"/>
        </w:rPr>
      </w:pPr>
      <w:r>
        <w:rPr>
          <w:rFonts w:ascii="宋体" w:hAnsi="宋体" w:eastAsia="宋体" w:cs="宋体"/>
          <w:b/>
          <w:bCs/>
          <w:spacing w:val="-4"/>
          <w:sz w:val="24"/>
          <w:szCs w:val="24"/>
          <w:lang w:eastAsia="zh-CN"/>
        </w:rPr>
        <w:t>十、资格审查</w:t>
      </w:r>
    </w:p>
    <w:p w14:paraId="003F7D8D">
      <w:pPr>
        <w:spacing w:before="183" w:line="219" w:lineRule="auto"/>
        <w:ind w:left="493"/>
        <w:rPr>
          <w:rFonts w:hint="eastAsia" w:ascii="宋体" w:hAnsi="宋体" w:eastAsia="宋体" w:cs="宋体"/>
          <w:sz w:val="24"/>
          <w:szCs w:val="24"/>
          <w:lang w:eastAsia="zh-CN"/>
        </w:rPr>
      </w:pPr>
      <w:r>
        <w:rPr>
          <w:rFonts w:ascii="宋体" w:hAnsi="宋体" w:eastAsia="宋体" w:cs="宋体"/>
          <w:spacing w:val="-2"/>
          <w:sz w:val="24"/>
          <w:szCs w:val="24"/>
          <w:lang w:eastAsia="zh-CN"/>
        </w:rPr>
        <w:t>资格后审，不接受联合体。</w:t>
      </w:r>
    </w:p>
    <w:p w14:paraId="1EC032D6">
      <w:pPr>
        <w:spacing w:before="100" w:line="219" w:lineRule="auto"/>
        <w:ind w:left="1"/>
        <w:rPr>
          <w:rFonts w:hint="eastAsia" w:ascii="宋体" w:hAnsi="宋体" w:eastAsia="宋体" w:cs="宋体"/>
          <w:sz w:val="24"/>
          <w:szCs w:val="24"/>
          <w:lang w:eastAsia="zh-CN"/>
        </w:rPr>
      </w:pPr>
      <w:r>
        <w:rPr>
          <w:rFonts w:hint="eastAsia" w:ascii="宋体" w:hAnsi="宋体" w:eastAsia="宋体" w:cs="宋体"/>
          <w:b/>
          <w:bCs/>
          <w:spacing w:val="-3"/>
          <w:sz w:val="24"/>
          <w:szCs w:val="24"/>
          <w:lang w:eastAsia="zh-CN"/>
        </w:rPr>
        <w:t>十</w:t>
      </w:r>
      <w:r>
        <w:rPr>
          <w:rFonts w:ascii="宋体" w:hAnsi="宋体" w:eastAsia="宋体" w:cs="宋体"/>
          <w:b/>
          <w:bCs/>
          <w:spacing w:val="-3"/>
          <w:sz w:val="24"/>
          <w:szCs w:val="24"/>
          <w:lang w:eastAsia="zh-CN"/>
        </w:rPr>
        <w:t>一、采购人的名称、地址和联系人</w:t>
      </w:r>
    </w:p>
    <w:p w14:paraId="4E6B0074">
      <w:pPr>
        <w:spacing w:before="183" w:line="219" w:lineRule="auto"/>
        <w:ind w:left="498"/>
        <w:rPr>
          <w:rFonts w:hint="eastAsia" w:ascii="宋体" w:hAnsi="宋体" w:eastAsia="宋体" w:cs="宋体"/>
          <w:sz w:val="24"/>
          <w:szCs w:val="24"/>
          <w:lang w:eastAsia="zh-CN"/>
        </w:rPr>
      </w:pPr>
      <w:r>
        <w:rPr>
          <w:rFonts w:ascii="宋体" w:hAnsi="宋体" w:eastAsia="宋体" w:cs="宋体"/>
          <w:spacing w:val="-2"/>
          <w:sz w:val="24"/>
          <w:szCs w:val="24"/>
          <w:lang w:eastAsia="zh-CN"/>
        </w:rPr>
        <w:t>1、采购人名称：山东济钢环保新材料有限公司</w:t>
      </w:r>
    </w:p>
    <w:p w14:paraId="79FD39A7">
      <w:pPr>
        <w:spacing w:before="183" w:line="219" w:lineRule="auto"/>
        <w:ind w:left="483"/>
        <w:rPr>
          <w:rFonts w:hint="eastAsia" w:ascii="宋体" w:hAnsi="宋体" w:eastAsia="宋体" w:cs="宋体"/>
          <w:sz w:val="24"/>
          <w:szCs w:val="24"/>
          <w:lang w:eastAsia="zh-CN"/>
        </w:rPr>
      </w:pPr>
      <w:r>
        <w:rPr>
          <w:rFonts w:ascii="宋体" w:hAnsi="宋体" w:eastAsia="宋体" w:cs="宋体"/>
          <w:spacing w:val="-1"/>
          <w:sz w:val="24"/>
          <w:szCs w:val="24"/>
          <w:lang w:eastAsia="zh-CN"/>
        </w:rPr>
        <w:t>2、采购人地址：山东省济南市章丘区官庄街道青野村东</w:t>
      </w:r>
    </w:p>
    <w:p w14:paraId="0299C1DE">
      <w:pPr>
        <w:spacing w:before="183" w:line="220" w:lineRule="auto"/>
        <w:ind w:left="485"/>
        <w:rPr>
          <w:rFonts w:hint="eastAsia" w:ascii="宋体" w:hAnsi="宋体" w:eastAsia="宋体" w:cs="宋体"/>
          <w:sz w:val="24"/>
          <w:szCs w:val="24"/>
          <w:lang w:eastAsia="zh-CN"/>
        </w:rPr>
      </w:pPr>
      <w:r>
        <w:rPr>
          <w:rFonts w:ascii="宋体" w:hAnsi="宋体" w:eastAsia="宋体" w:cs="宋体"/>
          <w:spacing w:val="-1"/>
          <w:sz w:val="24"/>
          <w:szCs w:val="24"/>
          <w:lang w:eastAsia="zh-CN"/>
        </w:rPr>
        <w:t>3、谈判联系人：</w:t>
      </w:r>
      <w:r>
        <w:rPr>
          <w:rFonts w:hint="eastAsia" w:ascii="宋体" w:hAnsi="宋体" w:eastAsia="宋体" w:cs="宋体"/>
          <w:spacing w:val="-1"/>
          <w:sz w:val="24"/>
          <w:szCs w:val="24"/>
          <w:lang w:eastAsia="zh-CN"/>
        </w:rPr>
        <w:t>于工，联系电话：17615831790</w:t>
      </w:r>
      <w:r>
        <w:rPr>
          <w:rFonts w:ascii="宋体" w:hAnsi="宋体" w:eastAsia="宋体" w:cs="宋体"/>
          <w:spacing w:val="-1"/>
          <w:sz w:val="24"/>
          <w:szCs w:val="24"/>
          <w:lang w:eastAsia="zh-CN"/>
        </w:rPr>
        <w:t>；</w:t>
      </w:r>
    </w:p>
    <w:p w14:paraId="5FAF2169">
      <w:pPr>
        <w:spacing w:before="181" w:line="219" w:lineRule="auto"/>
        <w:ind w:left="480"/>
        <w:rPr>
          <w:rFonts w:hint="eastAsia" w:ascii="宋体" w:hAnsi="宋体" w:eastAsia="宋体" w:cs="宋体"/>
          <w:sz w:val="24"/>
          <w:szCs w:val="24"/>
          <w:lang w:eastAsia="zh-CN"/>
        </w:rPr>
      </w:pPr>
      <w:r>
        <w:rPr>
          <w:rFonts w:ascii="宋体" w:hAnsi="宋体" w:eastAsia="宋体" w:cs="宋体"/>
          <w:sz w:val="24"/>
          <w:szCs w:val="24"/>
          <w:lang w:eastAsia="zh-CN"/>
        </w:rPr>
        <w:t>4、技术联系人：</w:t>
      </w:r>
      <w:r>
        <w:rPr>
          <w:rFonts w:hint="eastAsia" w:ascii="宋体" w:hAnsi="宋体" w:eastAsia="宋体" w:cs="宋体"/>
          <w:sz w:val="24"/>
          <w:szCs w:val="24"/>
          <w:lang w:eastAsia="zh-CN"/>
        </w:rPr>
        <w:t>明工，</w:t>
      </w:r>
      <w:r>
        <w:rPr>
          <w:rFonts w:ascii="宋体" w:hAnsi="宋体" w:eastAsia="宋体" w:cs="宋体"/>
          <w:sz w:val="24"/>
          <w:szCs w:val="24"/>
          <w:lang w:eastAsia="zh-CN"/>
        </w:rPr>
        <w:t>联系电话：</w:t>
      </w:r>
      <w:r>
        <w:rPr>
          <w:rFonts w:hint="eastAsia" w:ascii="宋体" w:hAnsi="宋体" w:eastAsia="宋体" w:cs="宋体"/>
          <w:sz w:val="24"/>
          <w:szCs w:val="24"/>
          <w:lang w:eastAsia="zh-CN"/>
        </w:rPr>
        <w:t>0531-83790181</w:t>
      </w:r>
      <w:r>
        <w:rPr>
          <w:rFonts w:ascii="宋体" w:hAnsi="宋体" w:eastAsia="宋体" w:cs="宋体"/>
          <w:spacing w:val="-1"/>
          <w:sz w:val="24"/>
          <w:szCs w:val="24"/>
          <w:lang w:eastAsia="zh-CN"/>
        </w:rPr>
        <w:t>；</w:t>
      </w:r>
    </w:p>
    <w:p w14:paraId="5CA1A917">
      <w:pPr>
        <w:spacing w:before="184" w:line="220" w:lineRule="auto"/>
        <w:ind w:left="1"/>
        <w:rPr>
          <w:rFonts w:hint="eastAsia" w:ascii="宋体" w:hAnsi="宋体" w:eastAsia="宋体" w:cs="宋体"/>
          <w:sz w:val="24"/>
          <w:szCs w:val="24"/>
          <w:lang w:eastAsia="zh-CN"/>
        </w:rPr>
      </w:pPr>
      <w:r>
        <w:rPr>
          <w:rFonts w:ascii="宋体" w:hAnsi="宋体" w:eastAsia="宋体" w:cs="宋体"/>
          <w:b/>
          <w:bCs/>
          <w:spacing w:val="-3"/>
          <w:sz w:val="24"/>
          <w:szCs w:val="24"/>
          <w:lang w:eastAsia="zh-CN"/>
        </w:rPr>
        <w:t>十二、安全要求</w:t>
      </w:r>
    </w:p>
    <w:p w14:paraId="40E0B012">
      <w:pPr>
        <w:spacing w:before="181" w:line="290" w:lineRule="auto"/>
        <w:ind w:left="8" w:right="2" w:firstLine="490"/>
        <w:rPr>
          <w:rFonts w:hint="eastAsia" w:ascii="宋体" w:hAnsi="宋体" w:eastAsia="宋体" w:cs="宋体"/>
          <w:sz w:val="24"/>
          <w:szCs w:val="24"/>
          <w:lang w:eastAsia="zh-CN"/>
        </w:rPr>
      </w:pPr>
      <w:r>
        <w:rPr>
          <w:rFonts w:ascii="宋体" w:hAnsi="宋体" w:eastAsia="宋体" w:cs="宋体"/>
          <w:spacing w:val="2"/>
          <w:sz w:val="24"/>
          <w:szCs w:val="24"/>
          <w:lang w:eastAsia="zh-CN"/>
        </w:rPr>
        <w:t>1、参加谈判的人员在</w:t>
      </w:r>
      <w:r>
        <w:rPr>
          <w:rFonts w:ascii="宋体" w:hAnsi="宋体" w:eastAsia="宋体" w:cs="宋体"/>
          <w:spacing w:val="-3"/>
          <w:sz w:val="24"/>
          <w:szCs w:val="24"/>
          <w:lang w:eastAsia="zh-CN"/>
        </w:rPr>
        <w:t>山东济钢环保新材料有限公司</w:t>
      </w:r>
      <w:r>
        <w:rPr>
          <w:rFonts w:ascii="宋体" w:hAnsi="宋体" w:eastAsia="宋体" w:cs="宋体"/>
          <w:spacing w:val="2"/>
          <w:sz w:val="24"/>
          <w:szCs w:val="24"/>
          <w:lang w:eastAsia="zh-CN"/>
        </w:rPr>
        <w:t>的一切活动，必须遵守</w:t>
      </w:r>
      <w:r>
        <w:rPr>
          <w:rFonts w:ascii="宋体" w:hAnsi="宋体" w:eastAsia="宋体" w:cs="宋体"/>
          <w:spacing w:val="-3"/>
          <w:sz w:val="24"/>
          <w:szCs w:val="24"/>
          <w:lang w:eastAsia="zh-CN"/>
        </w:rPr>
        <w:t>山东济钢环保新材料有限公司</w:t>
      </w:r>
      <w:r>
        <w:rPr>
          <w:rFonts w:ascii="宋体" w:hAnsi="宋体" w:eastAsia="宋体" w:cs="宋体"/>
          <w:spacing w:val="-1"/>
          <w:sz w:val="24"/>
          <w:szCs w:val="24"/>
          <w:lang w:eastAsia="zh-CN"/>
        </w:rPr>
        <w:t>的安全规定。需要现场踏勘时，必须遵</w:t>
      </w:r>
      <w:r>
        <w:rPr>
          <w:rFonts w:ascii="宋体" w:hAnsi="宋体" w:eastAsia="宋体" w:cs="宋体"/>
          <w:spacing w:val="-2"/>
          <w:sz w:val="24"/>
          <w:szCs w:val="24"/>
          <w:lang w:eastAsia="zh-CN"/>
        </w:rPr>
        <w:t>守安全管理规定，服从现场人员指挥。</w:t>
      </w:r>
    </w:p>
    <w:p w14:paraId="06CF7EC8">
      <w:pPr>
        <w:spacing w:before="183" w:line="218" w:lineRule="auto"/>
        <w:ind w:left="1"/>
        <w:outlineLvl w:val="0"/>
        <w:rPr>
          <w:rFonts w:hint="eastAsia" w:ascii="宋体" w:hAnsi="宋体" w:eastAsia="宋体" w:cs="宋体"/>
          <w:sz w:val="24"/>
          <w:szCs w:val="24"/>
          <w:lang w:eastAsia="zh-CN"/>
        </w:rPr>
      </w:pPr>
      <w:r>
        <w:rPr>
          <w:rFonts w:ascii="宋体" w:hAnsi="宋体" w:eastAsia="宋体" w:cs="宋体"/>
          <w:b/>
          <w:bCs/>
          <w:spacing w:val="-3"/>
          <w:sz w:val="24"/>
          <w:szCs w:val="24"/>
          <w:lang w:eastAsia="zh-CN"/>
        </w:rPr>
        <w:t>十三、公告中的内容和要求以最终的谈判文件为准。</w:t>
      </w:r>
    </w:p>
    <w:p w14:paraId="613F62C5">
      <w:pPr>
        <w:pStyle w:val="11"/>
        <w:spacing w:line="285" w:lineRule="auto"/>
        <w:rPr>
          <w:lang w:eastAsia="zh-CN"/>
        </w:rPr>
      </w:pPr>
    </w:p>
    <w:p w14:paraId="57BD0E89">
      <w:pPr>
        <w:pStyle w:val="11"/>
        <w:spacing w:line="285" w:lineRule="auto"/>
        <w:rPr>
          <w:lang w:eastAsia="zh-CN"/>
        </w:rPr>
      </w:pPr>
    </w:p>
    <w:p w14:paraId="10A5F781">
      <w:pPr>
        <w:wordWrap w:val="0"/>
        <w:spacing w:before="78" w:line="347" w:lineRule="auto"/>
        <w:ind w:left="237" w:right="1178" w:hanging="234" w:hangingChars="100"/>
        <w:jc w:val="right"/>
        <w:rPr>
          <w:rFonts w:hint="eastAsia" w:ascii="宋体" w:hAnsi="宋体" w:eastAsia="宋体" w:cs="宋体"/>
          <w:color w:val="EE0000"/>
          <w:spacing w:val="-9"/>
          <w:sz w:val="24"/>
          <w:szCs w:val="24"/>
          <w:lang w:eastAsia="zh-CN"/>
        </w:rPr>
      </w:pPr>
      <w:r>
        <w:rPr>
          <w:rFonts w:ascii="宋体" w:hAnsi="宋体" w:eastAsia="宋体" w:cs="宋体"/>
          <w:spacing w:val="-3"/>
          <w:sz w:val="24"/>
          <w:szCs w:val="24"/>
          <w:lang w:eastAsia="zh-CN"/>
        </w:rPr>
        <w:t>山东济钢环保新材料有限公司</w:t>
      </w:r>
    </w:p>
    <w:p w14:paraId="0AE377FD">
      <w:pPr>
        <w:spacing w:before="78" w:line="347" w:lineRule="auto"/>
        <w:ind w:left="231" w:right="1178" w:hanging="222" w:hangingChars="100"/>
        <w:jc w:val="right"/>
        <w:rPr>
          <w:rFonts w:hint="eastAsia" w:ascii="宋体" w:hAnsi="宋体" w:eastAsia="宋体" w:cs="宋体"/>
          <w:color w:val="auto"/>
          <w:sz w:val="24"/>
          <w:szCs w:val="24"/>
          <w:lang w:eastAsia="zh-CN"/>
        </w:rPr>
      </w:pPr>
      <w:r>
        <w:rPr>
          <w:rFonts w:hint="eastAsia" w:ascii="宋体" w:hAnsi="宋体" w:eastAsia="宋体" w:cs="宋体"/>
          <w:color w:val="auto"/>
          <w:spacing w:val="-9"/>
          <w:sz w:val="24"/>
          <w:szCs w:val="24"/>
          <w:lang w:val="en-US" w:eastAsia="zh-CN"/>
        </w:rPr>
        <w:t>2026</w:t>
      </w:r>
      <w:r>
        <w:rPr>
          <w:rFonts w:ascii="宋体" w:hAnsi="宋体" w:eastAsia="宋体" w:cs="宋体"/>
          <w:color w:val="auto"/>
          <w:spacing w:val="-9"/>
          <w:sz w:val="24"/>
          <w:szCs w:val="24"/>
          <w:lang w:eastAsia="zh-CN"/>
        </w:rPr>
        <w:t>年</w:t>
      </w:r>
      <w:r>
        <w:rPr>
          <w:rFonts w:hint="eastAsia" w:ascii="宋体" w:hAnsi="宋体" w:eastAsia="宋体" w:cs="宋体"/>
          <w:color w:val="auto"/>
          <w:spacing w:val="-9"/>
          <w:sz w:val="24"/>
          <w:szCs w:val="24"/>
          <w:lang w:val="en-US" w:eastAsia="zh-CN"/>
        </w:rPr>
        <w:t>9</w:t>
      </w:r>
      <w:r>
        <w:rPr>
          <w:rFonts w:ascii="宋体" w:hAnsi="宋体" w:eastAsia="宋体" w:cs="宋体"/>
          <w:color w:val="auto"/>
          <w:spacing w:val="-9"/>
          <w:sz w:val="24"/>
          <w:szCs w:val="24"/>
          <w:lang w:eastAsia="zh-CN"/>
        </w:rPr>
        <w:t>月</w:t>
      </w:r>
      <w:r>
        <w:rPr>
          <w:rFonts w:hint="eastAsia" w:ascii="宋体" w:hAnsi="宋体" w:eastAsia="宋体" w:cs="宋体"/>
          <w:color w:val="auto"/>
          <w:spacing w:val="-9"/>
          <w:sz w:val="24"/>
          <w:szCs w:val="24"/>
          <w:lang w:val="en-US" w:eastAsia="zh-CN"/>
        </w:rPr>
        <w:t>21</w:t>
      </w:r>
      <w:r>
        <w:rPr>
          <w:rFonts w:hint="eastAsia" w:ascii="宋体" w:hAnsi="宋体" w:eastAsia="宋体" w:cs="宋体"/>
          <w:color w:val="auto"/>
          <w:spacing w:val="-49"/>
          <w:sz w:val="24"/>
          <w:szCs w:val="24"/>
          <w:lang w:eastAsia="zh-CN"/>
        </w:rPr>
        <w:t>日</w:t>
      </w:r>
    </w:p>
    <w:p w14:paraId="19435608">
      <w:pPr>
        <w:spacing w:line="347" w:lineRule="auto"/>
        <w:rPr>
          <w:rFonts w:hint="eastAsia" w:ascii="宋体" w:hAnsi="宋体" w:eastAsia="宋体" w:cs="宋体"/>
          <w:color w:val="EE0000"/>
          <w:sz w:val="24"/>
          <w:szCs w:val="24"/>
          <w:lang w:eastAsia="zh-CN"/>
        </w:rPr>
      </w:pPr>
    </w:p>
    <w:p w14:paraId="537ECCB2">
      <w:pPr>
        <w:pStyle w:val="2"/>
        <w:ind w:firstLine="400"/>
        <w:rPr>
          <w:rFonts w:hint="eastAsia" w:eastAsiaTheme="minorEastAsia"/>
          <w:lang w:eastAsia="zh-CN"/>
        </w:rPr>
        <w:sectPr>
          <w:footerReference r:id="rId4" w:type="default"/>
          <w:pgSz w:w="11906" w:h="16839"/>
          <w:pgMar w:top="1431" w:right="1643" w:bottom="1156" w:left="1652" w:header="0" w:footer="994" w:gutter="0"/>
          <w:cols w:space="720" w:num="1"/>
        </w:sectPr>
      </w:pPr>
    </w:p>
    <w:p w14:paraId="427FB3D0">
      <w:pPr>
        <w:spacing w:before="273" w:line="224" w:lineRule="auto"/>
        <w:ind w:left="3458"/>
        <w:rPr>
          <w:rFonts w:hint="eastAsia" w:ascii="宋体" w:hAnsi="宋体" w:eastAsia="宋体" w:cs="宋体"/>
          <w:sz w:val="35"/>
          <w:szCs w:val="35"/>
          <w:lang w:eastAsia="zh-CN"/>
        </w:rPr>
      </w:pPr>
      <w:r>
        <w:rPr>
          <w:rFonts w:ascii="宋体" w:hAnsi="宋体" w:eastAsia="宋体" w:cs="宋体"/>
          <w:b/>
          <w:bCs/>
          <w:spacing w:val="5"/>
          <w:sz w:val="35"/>
          <w:szCs w:val="35"/>
          <w:lang w:eastAsia="zh-CN"/>
        </w:rPr>
        <w:t>第二章</w:t>
      </w:r>
      <w:r>
        <w:rPr>
          <w:rFonts w:ascii="宋体" w:hAnsi="宋体" w:eastAsia="宋体" w:cs="宋体"/>
          <w:spacing w:val="5"/>
          <w:sz w:val="35"/>
          <w:szCs w:val="35"/>
          <w:lang w:eastAsia="zh-CN"/>
        </w:rPr>
        <w:t xml:space="preserve">  </w:t>
      </w:r>
      <w:r>
        <w:rPr>
          <w:rFonts w:ascii="宋体" w:hAnsi="宋体" w:eastAsia="宋体" w:cs="宋体"/>
          <w:b/>
          <w:bCs/>
          <w:spacing w:val="5"/>
          <w:sz w:val="35"/>
          <w:szCs w:val="35"/>
          <w:lang w:eastAsia="zh-CN"/>
        </w:rPr>
        <w:t>谈判须知</w:t>
      </w:r>
    </w:p>
    <w:p w14:paraId="382202A9">
      <w:pPr>
        <w:spacing w:before="222" w:line="224" w:lineRule="auto"/>
        <w:ind w:left="3800"/>
        <w:outlineLvl w:val="1"/>
        <w:rPr>
          <w:rFonts w:hint="eastAsia" w:ascii="宋体" w:hAnsi="宋体" w:eastAsia="宋体" w:cs="宋体"/>
          <w:sz w:val="31"/>
          <w:szCs w:val="31"/>
          <w:lang w:eastAsia="zh-CN"/>
        </w:rPr>
      </w:pPr>
      <w:r>
        <w:rPr>
          <w:rFonts w:ascii="宋体" w:hAnsi="宋体" w:eastAsia="宋体" w:cs="宋体"/>
          <w:spacing w:val="5"/>
          <w:sz w:val="30"/>
          <w:szCs w:val="30"/>
          <w:lang w:eastAsia="zh-CN"/>
        </w:rPr>
        <w:t>谈判</w:t>
      </w:r>
      <w:r>
        <w:rPr>
          <w:rFonts w:ascii="宋体" w:hAnsi="宋体" w:eastAsia="宋体" w:cs="宋体"/>
          <w:spacing w:val="5"/>
          <w:sz w:val="31"/>
          <w:szCs w:val="31"/>
          <w:lang w:eastAsia="zh-CN"/>
        </w:rPr>
        <w:t>须知前附表</w:t>
      </w:r>
    </w:p>
    <w:p w14:paraId="0BCCEDE8">
      <w:pPr>
        <w:spacing w:line="173" w:lineRule="exact"/>
        <w:rPr>
          <w:lang w:eastAsia="zh-CN"/>
        </w:rPr>
      </w:pPr>
    </w:p>
    <w:tbl>
      <w:tblPr>
        <w:tblStyle w:val="20"/>
        <w:tblW w:w="97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1659"/>
        <w:gridCol w:w="7152"/>
      </w:tblGrid>
      <w:tr w14:paraId="27111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962" w:type="dxa"/>
            <w:vAlign w:val="center"/>
          </w:tcPr>
          <w:p w14:paraId="4FCF8EF5">
            <w:pPr>
              <w:pStyle w:val="21"/>
              <w:spacing w:before="248" w:line="219" w:lineRule="auto"/>
              <w:ind w:left="128"/>
              <w:rPr>
                <w:rFonts w:hint="eastAsia"/>
              </w:rPr>
            </w:pPr>
            <w:r>
              <w:rPr>
                <w:b/>
                <w:bCs/>
                <w:spacing w:val="-6"/>
              </w:rPr>
              <w:t>条款号</w:t>
            </w:r>
          </w:p>
        </w:tc>
        <w:tc>
          <w:tcPr>
            <w:tcW w:w="1659" w:type="dxa"/>
            <w:vAlign w:val="center"/>
          </w:tcPr>
          <w:p w14:paraId="68AC3740">
            <w:pPr>
              <w:pStyle w:val="21"/>
              <w:spacing w:before="248" w:line="219" w:lineRule="auto"/>
              <w:ind w:left="354"/>
              <w:rPr>
                <w:rFonts w:hint="eastAsia"/>
              </w:rPr>
            </w:pPr>
            <w:r>
              <w:rPr>
                <w:b/>
                <w:bCs/>
                <w:spacing w:val="-5"/>
              </w:rPr>
              <w:t>条款名称</w:t>
            </w:r>
          </w:p>
        </w:tc>
        <w:tc>
          <w:tcPr>
            <w:tcW w:w="7152" w:type="dxa"/>
            <w:vAlign w:val="center"/>
          </w:tcPr>
          <w:p w14:paraId="31D081D2">
            <w:pPr>
              <w:pStyle w:val="21"/>
              <w:spacing w:before="229" w:line="219" w:lineRule="auto"/>
              <w:ind w:left="3102"/>
              <w:rPr>
                <w:rFonts w:hint="eastAsia"/>
              </w:rPr>
            </w:pPr>
            <w:r>
              <w:rPr>
                <w:b/>
                <w:bCs/>
                <w:spacing w:val="-5"/>
              </w:rPr>
              <w:t>编列内容</w:t>
            </w:r>
          </w:p>
        </w:tc>
      </w:tr>
      <w:tr w14:paraId="5D2AB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62" w:type="dxa"/>
            <w:vAlign w:val="center"/>
          </w:tcPr>
          <w:p w14:paraId="56335A39">
            <w:pPr>
              <w:pStyle w:val="21"/>
              <w:spacing w:before="89" w:line="184" w:lineRule="auto"/>
              <w:ind w:left="206"/>
              <w:rPr>
                <w:rFonts w:hint="eastAsia"/>
              </w:rPr>
            </w:pPr>
            <w:r>
              <w:rPr>
                <w:spacing w:val="-6"/>
              </w:rPr>
              <w:t>1.1.1</w:t>
            </w:r>
          </w:p>
        </w:tc>
        <w:tc>
          <w:tcPr>
            <w:tcW w:w="1659" w:type="dxa"/>
            <w:vAlign w:val="center"/>
          </w:tcPr>
          <w:p w14:paraId="0B192ADB">
            <w:pPr>
              <w:pStyle w:val="21"/>
              <w:spacing w:before="52" w:line="217" w:lineRule="auto"/>
              <w:ind w:left="474"/>
              <w:rPr>
                <w:rFonts w:hint="eastAsia"/>
              </w:rPr>
            </w:pPr>
            <w:r>
              <w:rPr>
                <w:spacing w:val="-3"/>
              </w:rPr>
              <w:t>采购人</w:t>
            </w:r>
          </w:p>
        </w:tc>
        <w:tc>
          <w:tcPr>
            <w:tcW w:w="7152" w:type="dxa"/>
            <w:vAlign w:val="center"/>
          </w:tcPr>
          <w:p w14:paraId="5F8DC77B">
            <w:pPr>
              <w:pStyle w:val="21"/>
              <w:spacing w:before="67" w:line="206" w:lineRule="auto"/>
              <w:ind w:left="136"/>
              <w:rPr>
                <w:rFonts w:hint="eastAsia"/>
                <w:lang w:eastAsia="zh-CN"/>
              </w:rPr>
            </w:pPr>
            <w:r>
              <w:rPr>
                <w:spacing w:val="-3"/>
                <w:lang w:eastAsia="zh-CN"/>
              </w:rPr>
              <w:t>山东济钢环保新材料有限公司</w:t>
            </w:r>
          </w:p>
        </w:tc>
      </w:tr>
      <w:tr w14:paraId="354B6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62" w:type="dxa"/>
            <w:vAlign w:val="center"/>
          </w:tcPr>
          <w:p w14:paraId="4A74F349">
            <w:pPr>
              <w:pStyle w:val="21"/>
              <w:spacing w:before="87" w:line="184" w:lineRule="auto"/>
              <w:ind w:left="206"/>
              <w:rPr>
                <w:rFonts w:hint="eastAsia"/>
              </w:rPr>
            </w:pPr>
            <w:r>
              <w:rPr>
                <w:spacing w:val="-6"/>
              </w:rPr>
              <w:t>1.1.2</w:t>
            </w:r>
          </w:p>
        </w:tc>
        <w:tc>
          <w:tcPr>
            <w:tcW w:w="1659" w:type="dxa"/>
            <w:vAlign w:val="center"/>
          </w:tcPr>
          <w:p w14:paraId="03A607FF">
            <w:pPr>
              <w:pStyle w:val="21"/>
              <w:spacing w:before="50" w:line="219" w:lineRule="auto"/>
              <w:ind w:left="359"/>
              <w:rPr>
                <w:rFonts w:hint="eastAsia"/>
              </w:rPr>
            </w:pPr>
            <w:r>
              <w:rPr>
                <w:spacing w:val="-4"/>
              </w:rPr>
              <w:t>项目名称</w:t>
            </w:r>
          </w:p>
        </w:tc>
        <w:tc>
          <w:tcPr>
            <w:tcW w:w="7152" w:type="dxa"/>
            <w:vAlign w:val="center"/>
          </w:tcPr>
          <w:p w14:paraId="138D7843">
            <w:pPr>
              <w:pStyle w:val="21"/>
              <w:spacing w:before="67" w:line="206" w:lineRule="auto"/>
              <w:ind w:left="136"/>
              <w:rPr>
                <w:rFonts w:hint="eastAsia"/>
                <w:lang w:eastAsia="zh-CN"/>
              </w:rPr>
            </w:pPr>
            <w:r>
              <w:rPr>
                <w:rFonts w:hint="eastAsia"/>
                <w:lang w:eastAsia="zh-CN"/>
              </w:rPr>
              <w:t>山东济钢环保新材料有限公司工程造价咨询服务采购</w:t>
            </w:r>
          </w:p>
        </w:tc>
      </w:tr>
      <w:tr w14:paraId="1FC12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962" w:type="dxa"/>
            <w:vAlign w:val="center"/>
          </w:tcPr>
          <w:p w14:paraId="288C490E">
            <w:pPr>
              <w:spacing w:line="362" w:lineRule="auto"/>
              <w:rPr>
                <w:lang w:eastAsia="zh-CN"/>
              </w:rPr>
            </w:pPr>
          </w:p>
          <w:p w14:paraId="28DB55AF">
            <w:pPr>
              <w:pStyle w:val="21"/>
              <w:spacing w:before="78" w:line="184" w:lineRule="auto"/>
              <w:ind w:left="206"/>
              <w:rPr>
                <w:rFonts w:hint="eastAsia"/>
              </w:rPr>
            </w:pPr>
            <w:r>
              <w:rPr>
                <w:spacing w:val="-6"/>
              </w:rPr>
              <w:t>1.1.3</w:t>
            </w:r>
          </w:p>
        </w:tc>
        <w:tc>
          <w:tcPr>
            <w:tcW w:w="1659" w:type="dxa"/>
            <w:vAlign w:val="center"/>
          </w:tcPr>
          <w:p w14:paraId="0172EBE0">
            <w:pPr>
              <w:spacing w:line="326" w:lineRule="auto"/>
            </w:pPr>
          </w:p>
          <w:p w14:paraId="30CFA6ED">
            <w:pPr>
              <w:pStyle w:val="21"/>
              <w:spacing w:before="78" w:line="220" w:lineRule="auto"/>
              <w:ind w:left="356"/>
              <w:rPr>
                <w:rFonts w:hint="eastAsia"/>
              </w:rPr>
            </w:pPr>
            <w:r>
              <w:rPr>
                <w:rFonts w:hint="eastAsia"/>
              </w:rPr>
              <w:t>项目概况</w:t>
            </w:r>
          </w:p>
        </w:tc>
        <w:tc>
          <w:tcPr>
            <w:tcW w:w="7152" w:type="dxa"/>
            <w:vAlign w:val="center"/>
          </w:tcPr>
          <w:p w14:paraId="29438E91">
            <w:pPr>
              <w:pStyle w:val="21"/>
              <w:spacing w:before="35" w:line="234" w:lineRule="auto"/>
              <w:ind w:left="115" w:right="108"/>
              <w:jc w:val="both"/>
              <w:rPr>
                <w:rFonts w:hint="eastAsia"/>
                <w:lang w:eastAsia="zh-CN"/>
              </w:rPr>
            </w:pPr>
            <w:r>
              <w:rPr>
                <w:rFonts w:hint="eastAsia"/>
                <w:lang w:eastAsia="zh-CN"/>
              </w:rPr>
              <w:t>山东济钢环保新材料有限公司投资建设的固定资产投资项目和检维修项目进行项目概算、预算、招标控制价及工程量清单编制。工程造价过程控制与跟踪审核咨询服务，包括对工程招标文件和施工合同的商务条款提出咨询意见，审核施工图预算，协助委托人审核设计变更、现场签证、进度款审核、竣工结算审核等全过程造价咨询服务。</w:t>
            </w:r>
          </w:p>
        </w:tc>
      </w:tr>
      <w:tr w14:paraId="7D397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962" w:type="dxa"/>
            <w:vAlign w:val="center"/>
          </w:tcPr>
          <w:p w14:paraId="4FDDD352">
            <w:pPr>
              <w:spacing w:line="256" w:lineRule="auto"/>
              <w:rPr>
                <w:lang w:eastAsia="zh-CN"/>
              </w:rPr>
            </w:pPr>
          </w:p>
          <w:p w14:paraId="0C00C606">
            <w:pPr>
              <w:pStyle w:val="21"/>
              <w:spacing w:before="78" w:line="184" w:lineRule="auto"/>
              <w:ind w:left="206"/>
              <w:rPr>
                <w:rFonts w:hint="eastAsia"/>
              </w:rPr>
            </w:pPr>
            <w:r>
              <w:rPr>
                <w:spacing w:val="-6"/>
              </w:rPr>
              <w:t>1.1.4</w:t>
            </w:r>
          </w:p>
        </w:tc>
        <w:tc>
          <w:tcPr>
            <w:tcW w:w="1659" w:type="dxa"/>
            <w:vAlign w:val="center"/>
          </w:tcPr>
          <w:p w14:paraId="14B98C14">
            <w:pPr>
              <w:pStyle w:val="21"/>
              <w:spacing w:before="299" w:line="220" w:lineRule="auto"/>
              <w:ind w:left="359"/>
              <w:rPr>
                <w:rFonts w:hint="eastAsia"/>
              </w:rPr>
            </w:pPr>
            <w:r>
              <w:rPr>
                <w:spacing w:val="-4"/>
              </w:rPr>
              <w:t>项目地点</w:t>
            </w:r>
          </w:p>
        </w:tc>
        <w:tc>
          <w:tcPr>
            <w:tcW w:w="7152" w:type="dxa"/>
            <w:vAlign w:val="center"/>
          </w:tcPr>
          <w:p w14:paraId="2D3FA213">
            <w:pPr>
              <w:pStyle w:val="21"/>
              <w:spacing w:before="146" w:line="249" w:lineRule="auto"/>
              <w:ind w:left="132" w:right="321" w:firstLine="3"/>
              <w:rPr>
                <w:rFonts w:hint="eastAsia"/>
                <w:lang w:eastAsia="zh-CN"/>
              </w:rPr>
            </w:pPr>
            <w:r>
              <w:rPr>
                <w:spacing w:val="-1"/>
                <w:lang w:eastAsia="zh-CN"/>
              </w:rPr>
              <w:t>山东省济南市章丘区官庄街道</w:t>
            </w:r>
            <w:r>
              <w:rPr>
                <w:rFonts w:hint="eastAsia"/>
                <w:spacing w:val="-1"/>
                <w:lang w:eastAsia="zh-CN"/>
              </w:rPr>
              <w:t>青野村东，</w:t>
            </w:r>
            <w:r>
              <w:rPr>
                <w:spacing w:val="-1"/>
                <w:lang w:eastAsia="zh-CN"/>
              </w:rPr>
              <w:t>山东济钢环保新材料有限</w:t>
            </w:r>
            <w:r>
              <w:rPr>
                <w:spacing w:val="-2"/>
                <w:lang w:eastAsia="zh-CN"/>
              </w:rPr>
              <w:t>公司</w:t>
            </w:r>
          </w:p>
        </w:tc>
      </w:tr>
      <w:tr w14:paraId="16807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2" w:type="dxa"/>
            <w:vAlign w:val="center"/>
          </w:tcPr>
          <w:p w14:paraId="21D69DD9">
            <w:pPr>
              <w:pStyle w:val="21"/>
              <w:spacing w:before="87" w:line="183" w:lineRule="auto"/>
              <w:ind w:left="206"/>
              <w:rPr>
                <w:rFonts w:hint="eastAsia"/>
              </w:rPr>
            </w:pPr>
            <w:r>
              <w:rPr>
                <w:spacing w:val="-6"/>
              </w:rPr>
              <w:t>1.2.1</w:t>
            </w:r>
          </w:p>
        </w:tc>
        <w:tc>
          <w:tcPr>
            <w:tcW w:w="1659" w:type="dxa"/>
            <w:vAlign w:val="center"/>
          </w:tcPr>
          <w:p w14:paraId="417249B3">
            <w:pPr>
              <w:pStyle w:val="21"/>
              <w:spacing w:before="49" w:line="212" w:lineRule="auto"/>
              <w:ind w:left="365"/>
              <w:rPr>
                <w:rFonts w:hint="eastAsia"/>
              </w:rPr>
            </w:pPr>
            <w:r>
              <w:rPr>
                <w:spacing w:val="-5"/>
              </w:rPr>
              <w:t>资金来源</w:t>
            </w:r>
          </w:p>
        </w:tc>
        <w:tc>
          <w:tcPr>
            <w:tcW w:w="7152" w:type="dxa"/>
            <w:vAlign w:val="center"/>
          </w:tcPr>
          <w:p w14:paraId="588236E3">
            <w:pPr>
              <w:pStyle w:val="21"/>
              <w:spacing w:before="68" w:line="197" w:lineRule="auto"/>
              <w:ind w:left="153"/>
              <w:rPr>
                <w:rFonts w:hint="eastAsia"/>
              </w:rPr>
            </w:pPr>
            <w:r>
              <w:rPr>
                <w:spacing w:val="-13"/>
              </w:rPr>
              <w:t>自有资金</w:t>
            </w:r>
          </w:p>
        </w:tc>
      </w:tr>
      <w:tr w14:paraId="202AA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2" w:type="dxa"/>
            <w:vAlign w:val="center"/>
          </w:tcPr>
          <w:p w14:paraId="59EE50DA">
            <w:pPr>
              <w:pStyle w:val="21"/>
              <w:spacing w:before="84" w:line="184" w:lineRule="auto"/>
              <w:ind w:left="206"/>
              <w:rPr>
                <w:rFonts w:hint="eastAsia"/>
              </w:rPr>
            </w:pPr>
            <w:r>
              <w:rPr>
                <w:spacing w:val="-6"/>
              </w:rPr>
              <w:t>1.2.2</w:t>
            </w:r>
          </w:p>
        </w:tc>
        <w:tc>
          <w:tcPr>
            <w:tcW w:w="1659" w:type="dxa"/>
            <w:vAlign w:val="center"/>
          </w:tcPr>
          <w:p w14:paraId="26A0A286">
            <w:pPr>
              <w:pStyle w:val="21"/>
              <w:spacing w:before="48" w:line="213" w:lineRule="auto"/>
              <w:ind w:left="354"/>
              <w:rPr>
                <w:rFonts w:hint="eastAsia"/>
              </w:rPr>
            </w:pPr>
            <w:r>
              <w:rPr>
                <w:spacing w:val="-3"/>
              </w:rPr>
              <w:t>采购方式</w:t>
            </w:r>
          </w:p>
        </w:tc>
        <w:tc>
          <w:tcPr>
            <w:tcW w:w="7152" w:type="dxa"/>
            <w:vAlign w:val="center"/>
          </w:tcPr>
          <w:p w14:paraId="7B87B4A9">
            <w:pPr>
              <w:pStyle w:val="21"/>
              <w:spacing w:before="70" w:line="196" w:lineRule="auto"/>
              <w:ind w:left="117"/>
              <w:rPr>
                <w:rFonts w:hint="eastAsia"/>
                <w:lang w:eastAsia="zh-CN"/>
              </w:rPr>
            </w:pPr>
            <w:r>
              <w:rPr>
                <w:spacing w:val="-2"/>
                <w:lang w:eastAsia="zh-CN"/>
              </w:rPr>
              <w:t>竞争性谈判，资格后审</w:t>
            </w:r>
          </w:p>
        </w:tc>
      </w:tr>
      <w:tr w14:paraId="12295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trPr>
        <w:tc>
          <w:tcPr>
            <w:tcW w:w="962" w:type="dxa"/>
            <w:vAlign w:val="center"/>
          </w:tcPr>
          <w:p w14:paraId="1FD2915A">
            <w:pPr>
              <w:pStyle w:val="21"/>
              <w:spacing w:before="193" w:line="184" w:lineRule="auto"/>
              <w:ind w:left="206"/>
              <w:rPr>
                <w:rFonts w:hint="eastAsia"/>
              </w:rPr>
            </w:pPr>
            <w:r>
              <w:rPr>
                <w:spacing w:val="-6"/>
              </w:rPr>
              <w:t>1.3.1</w:t>
            </w:r>
          </w:p>
        </w:tc>
        <w:tc>
          <w:tcPr>
            <w:tcW w:w="1659" w:type="dxa"/>
            <w:vAlign w:val="center"/>
          </w:tcPr>
          <w:p w14:paraId="6C1EE855">
            <w:pPr>
              <w:pStyle w:val="21"/>
              <w:spacing w:before="178" w:line="219" w:lineRule="auto"/>
              <w:ind w:left="354"/>
              <w:rPr>
                <w:rFonts w:hint="eastAsia"/>
              </w:rPr>
            </w:pPr>
            <w:r>
              <w:rPr>
                <w:spacing w:val="-3"/>
              </w:rPr>
              <w:t>采购范围</w:t>
            </w:r>
          </w:p>
        </w:tc>
        <w:tc>
          <w:tcPr>
            <w:tcW w:w="7152" w:type="dxa"/>
            <w:vAlign w:val="center"/>
          </w:tcPr>
          <w:p w14:paraId="1C194CBF">
            <w:pPr>
              <w:spacing w:line="360" w:lineRule="auto"/>
              <w:ind w:right="-6"/>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1</w:t>
            </w:r>
            <w:r>
              <w:rPr>
                <w:rFonts w:hint="eastAsia" w:ascii="宋体" w:hAnsi="宋体" w:eastAsia="宋体" w:cs="宋体"/>
                <w:spacing w:val="-2"/>
                <w:sz w:val="24"/>
                <w:szCs w:val="24"/>
                <w:lang w:eastAsia="zh-CN"/>
              </w:rPr>
              <w:t>）项目概算、施工图预算、招标控制价（最高投标限价）及工程量清单编制；</w:t>
            </w:r>
          </w:p>
          <w:p w14:paraId="11A1FD2D">
            <w:pPr>
              <w:spacing w:line="360" w:lineRule="auto"/>
              <w:ind w:right="-6"/>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2</w:t>
            </w:r>
            <w:r>
              <w:rPr>
                <w:rFonts w:hint="eastAsia" w:ascii="宋体" w:hAnsi="宋体" w:eastAsia="宋体" w:cs="宋体"/>
                <w:spacing w:val="-2"/>
                <w:sz w:val="24"/>
                <w:szCs w:val="24"/>
                <w:lang w:eastAsia="zh-CN"/>
              </w:rPr>
              <w:t>）工程造价过程控制与跟踪审核咨询服务，包括对工程招标文件和施工合同的商务条款提出咨询意见，审核施工图预算，协助委托人审核设计变更、现场签证、进度款审核、竣工结算审核等全过程造价咨询服务；</w:t>
            </w:r>
          </w:p>
          <w:p w14:paraId="78C3FF62">
            <w:pPr>
              <w:pStyle w:val="21"/>
              <w:spacing w:before="156" w:line="219" w:lineRule="auto"/>
              <w:rPr>
                <w:rFonts w:hint="eastAsia"/>
                <w:b/>
                <w:bCs/>
                <w:lang w:eastAsia="zh-CN"/>
              </w:rPr>
            </w:pPr>
            <w:r>
              <w:rPr>
                <w:rFonts w:hint="eastAsia"/>
                <w:spacing w:val="-2"/>
                <w:lang w:eastAsia="zh-CN"/>
              </w:rPr>
              <w:t>（</w:t>
            </w:r>
            <w:r>
              <w:rPr>
                <w:spacing w:val="-2"/>
                <w:lang w:eastAsia="zh-CN"/>
              </w:rPr>
              <w:t>3</w:t>
            </w:r>
            <w:r>
              <w:rPr>
                <w:rFonts w:hint="eastAsia"/>
                <w:spacing w:val="-2"/>
                <w:lang w:eastAsia="zh-CN"/>
              </w:rPr>
              <w:t>）竣工结算审核。</w:t>
            </w:r>
          </w:p>
        </w:tc>
      </w:tr>
      <w:tr w14:paraId="73676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3" w:hRule="atLeast"/>
        </w:trPr>
        <w:tc>
          <w:tcPr>
            <w:tcW w:w="962" w:type="dxa"/>
            <w:vAlign w:val="center"/>
          </w:tcPr>
          <w:p w14:paraId="56437B9E">
            <w:pPr>
              <w:pStyle w:val="21"/>
              <w:spacing w:before="85" w:line="184" w:lineRule="auto"/>
              <w:ind w:left="206"/>
              <w:rPr>
                <w:rFonts w:hint="eastAsia"/>
              </w:rPr>
            </w:pPr>
            <w:r>
              <w:rPr>
                <w:spacing w:val="-6"/>
              </w:rPr>
              <w:t>1.3.2</w:t>
            </w:r>
          </w:p>
        </w:tc>
        <w:tc>
          <w:tcPr>
            <w:tcW w:w="1659" w:type="dxa"/>
            <w:vAlign w:val="center"/>
          </w:tcPr>
          <w:p w14:paraId="75EA375C">
            <w:pPr>
              <w:pStyle w:val="21"/>
              <w:spacing w:before="78" w:line="190" w:lineRule="auto"/>
              <w:ind w:left="355"/>
              <w:rPr>
                <w:rFonts w:hint="eastAsia"/>
              </w:rPr>
            </w:pPr>
            <w:r>
              <w:rPr>
                <w:spacing w:val="-3"/>
              </w:rPr>
              <w:t>计划工期</w:t>
            </w:r>
          </w:p>
        </w:tc>
        <w:tc>
          <w:tcPr>
            <w:tcW w:w="7152" w:type="dxa"/>
            <w:vAlign w:val="center"/>
          </w:tcPr>
          <w:p w14:paraId="355AB1E5">
            <w:pPr>
              <w:pStyle w:val="21"/>
              <w:spacing w:before="78"/>
              <w:ind w:left="113"/>
              <w:rPr>
                <w:rFonts w:hint="eastAsia"/>
                <w:lang w:eastAsia="zh-CN"/>
              </w:rPr>
            </w:pPr>
            <w:r>
              <w:rPr>
                <w:lang w:eastAsia="zh-CN"/>
              </w:rPr>
              <w:t>本合同服务期自合同签订且收到委托人服务通知之日起，至受托人提供造价咨询服务的项目累计结算金额达到人民币2000万元之日止。若最后一个项目完成后累计结算金额超过人民币2000万元的，以该项目出具造价咨询报告，结算完成之日作为服务期届满之日。</w:t>
            </w:r>
          </w:p>
        </w:tc>
      </w:tr>
      <w:tr w14:paraId="5EB4D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962" w:type="dxa"/>
            <w:vAlign w:val="center"/>
          </w:tcPr>
          <w:p w14:paraId="5FE285B4">
            <w:pPr>
              <w:spacing w:line="246" w:lineRule="auto"/>
              <w:rPr>
                <w:lang w:eastAsia="zh-CN"/>
              </w:rPr>
            </w:pPr>
          </w:p>
          <w:p w14:paraId="103029ED">
            <w:pPr>
              <w:pStyle w:val="21"/>
              <w:spacing w:before="78" w:line="184" w:lineRule="auto"/>
              <w:ind w:left="206"/>
              <w:rPr>
                <w:rFonts w:hint="eastAsia"/>
              </w:rPr>
            </w:pPr>
            <w:r>
              <w:rPr>
                <w:spacing w:val="-6"/>
              </w:rPr>
              <w:t>1.3.3</w:t>
            </w:r>
          </w:p>
        </w:tc>
        <w:tc>
          <w:tcPr>
            <w:tcW w:w="1659" w:type="dxa"/>
            <w:vAlign w:val="center"/>
          </w:tcPr>
          <w:p w14:paraId="22C53347">
            <w:pPr>
              <w:pStyle w:val="21"/>
              <w:spacing w:before="289" w:line="222" w:lineRule="auto"/>
              <w:ind w:left="354"/>
              <w:rPr>
                <w:rFonts w:hint="eastAsia"/>
              </w:rPr>
            </w:pPr>
            <w:r>
              <w:rPr>
                <w:rFonts w:hint="eastAsia"/>
                <w:spacing w:val="-3"/>
                <w:lang w:eastAsia="zh-CN"/>
              </w:rPr>
              <w:t>交货</w:t>
            </w:r>
            <w:r>
              <w:rPr>
                <w:spacing w:val="-3"/>
              </w:rPr>
              <w:t>地点</w:t>
            </w:r>
          </w:p>
        </w:tc>
        <w:tc>
          <w:tcPr>
            <w:tcW w:w="7152" w:type="dxa"/>
            <w:vAlign w:val="center"/>
          </w:tcPr>
          <w:p w14:paraId="024CFDE4">
            <w:pPr>
              <w:pStyle w:val="21"/>
              <w:spacing w:before="136" w:line="249" w:lineRule="auto"/>
              <w:ind w:left="132" w:right="321" w:firstLine="3"/>
              <w:rPr>
                <w:rFonts w:hint="eastAsia"/>
                <w:lang w:eastAsia="zh-CN"/>
              </w:rPr>
            </w:pPr>
            <w:r>
              <w:rPr>
                <w:spacing w:val="-1"/>
                <w:lang w:eastAsia="zh-CN"/>
              </w:rPr>
              <w:t>山东省济南市章丘区官庄街道山东济钢环保新材料有限</w:t>
            </w:r>
            <w:r>
              <w:rPr>
                <w:spacing w:val="-2"/>
                <w:lang w:eastAsia="zh-CN"/>
              </w:rPr>
              <w:t>公司</w:t>
            </w:r>
          </w:p>
        </w:tc>
      </w:tr>
      <w:tr w14:paraId="20A9A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62" w:type="dxa"/>
            <w:vAlign w:val="center"/>
          </w:tcPr>
          <w:p w14:paraId="5AD58FE9">
            <w:pPr>
              <w:pStyle w:val="21"/>
              <w:spacing w:before="85" w:line="184" w:lineRule="auto"/>
              <w:ind w:left="206"/>
              <w:rPr>
                <w:rFonts w:hint="eastAsia"/>
              </w:rPr>
            </w:pPr>
            <w:r>
              <w:rPr>
                <w:spacing w:val="-6"/>
              </w:rPr>
              <w:t>1.3.4</w:t>
            </w:r>
          </w:p>
        </w:tc>
        <w:tc>
          <w:tcPr>
            <w:tcW w:w="1659" w:type="dxa"/>
            <w:vAlign w:val="center"/>
          </w:tcPr>
          <w:p w14:paraId="4DFEC785">
            <w:pPr>
              <w:pStyle w:val="21"/>
              <w:spacing w:before="49" w:line="212" w:lineRule="auto"/>
              <w:ind w:left="476"/>
              <w:rPr>
                <w:rFonts w:hint="eastAsia"/>
              </w:rPr>
            </w:pPr>
            <w:r>
              <w:rPr>
                <w:spacing w:val="-4"/>
              </w:rPr>
              <w:t>质保期</w:t>
            </w:r>
          </w:p>
        </w:tc>
        <w:tc>
          <w:tcPr>
            <w:tcW w:w="7152" w:type="dxa"/>
            <w:vAlign w:val="center"/>
          </w:tcPr>
          <w:p w14:paraId="4239060B">
            <w:pPr>
              <w:pStyle w:val="21"/>
              <w:spacing w:before="70" w:line="196" w:lineRule="auto"/>
              <w:ind w:left="116"/>
              <w:rPr>
                <w:rFonts w:hint="eastAsia"/>
              </w:rPr>
            </w:pPr>
            <w:r>
              <w:t>无</w:t>
            </w:r>
          </w:p>
        </w:tc>
      </w:tr>
      <w:tr w14:paraId="034DB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962" w:type="dxa"/>
            <w:vAlign w:val="center"/>
          </w:tcPr>
          <w:p w14:paraId="287EBC6A">
            <w:pPr>
              <w:spacing w:line="269" w:lineRule="auto"/>
            </w:pPr>
          </w:p>
          <w:p w14:paraId="210F07E6">
            <w:pPr>
              <w:spacing w:line="269" w:lineRule="auto"/>
            </w:pPr>
          </w:p>
          <w:p w14:paraId="58AED0C7">
            <w:pPr>
              <w:spacing w:line="269" w:lineRule="auto"/>
            </w:pPr>
          </w:p>
          <w:p w14:paraId="458C5469">
            <w:pPr>
              <w:spacing w:line="270" w:lineRule="auto"/>
            </w:pPr>
          </w:p>
          <w:p w14:paraId="338F0C1F">
            <w:pPr>
              <w:pStyle w:val="21"/>
              <w:spacing w:before="78" w:line="184" w:lineRule="auto"/>
              <w:ind w:left="206"/>
              <w:rPr>
                <w:rFonts w:hint="eastAsia"/>
              </w:rPr>
            </w:pPr>
            <w:r>
              <w:rPr>
                <w:spacing w:val="-6"/>
              </w:rPr>
              <w:t>1.4.1</w:t>
            </w:r>
          </w:p>
        </w:tc>
        <w:tc>
          <w:tcPr>
            <w:tcW w:w="1659" w:type="dxa"/>
            <w:vAlign w:val="center"/>
          </w:tcPr>
          <w:p w14:paraId="11D0E226">
            <w:pPr>
              <w:jc w:val="center"/>
            </w:pPr>
            <w:r>
              <w:rPr>
                <w:rFonts w:hint="eastAsia" w:ascii="宋体" w:hAnsi="宋体" w:cs="宋体"/>
                <w:sz w:val="24"/>
                <w:szCs w:val="24"/>
              </w:rPr>
              <w:t>资格审查</w:t>
            </w:r>
          </w:p>
        </w:tc>
        <w:tc>
          <w:tcPr>
            <w:tcW w:w="7152" w:type="dxa"/>
            <w:vAlign w:val="center"/>
          </w:tcPr>
          <w:p w14:paraId="158079F7">
            <w:pPr>
              <w:spacing w:line="34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资格审查方式：资格后审</w:t>
            </w:r>
          </w:p>
          <w:p w14:paraId="7CD3A802">
            <w:pPr>
              <w:spacing w:line="340" w:lineRule="exact"/>
              <w:rPr>
                <w:rFonts w:hint="eastAsia" w:ascii="宋体" w:hAnsi="宋体" w:eastAsia="宋体" w:cs="宋体"/>
                <w:sz w:val="24"/>
                <w:szCs w:val="24"/>
                <w:lang w:val="zh-CN"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zh-CN" w:eastAsia="zh-CN"/>
              </w:rPr>
              <w:t>评</w:t>
            </w:r>
            <w:r>
              <w:rPr>
                <w:rFonts w:hint="eastAsia" w:ascii="宋体" w:hAnsi="宋体" w:eastAsia="宋体" w:cs="宋体"/>
                <w:sz w:val="24"/>
                <w:szCs w:val="24"/>
                <w:lang w:eastAsia="zh-CN"/>
              </w:rPr>
              <w:t>审</w:t>
            </w:r>
            <w:r>
              <w:rPr>
                <w:rFonts w:hint="eastAsia" w:ascii="宋体" w:hAnsi="宋体" w:eastAsia="宋体" w:cs="宋体"/>
                <w:sz w:val="24"/>
                <w:szCs w:val="24"/>
                <w:lang w:val="zh-CN" w:eastAsia="zh-CN"/>
              </w:rPr>
              <w:t>委员会对</w:t>
            </w:r>
            <w:r>
              <w:rPr>
                <w:rFonts w:hint="eastAsia" w:ascii="宋体" w:hAnsi="宋体" w:eastAsia="宋体" w:cs="宋体"/>
                <w:sz w:val="24"/>
                <w:szCs w:val="24"/>
                <w:lang w:eastAsia="zh-CN"/>
              </w:rPr>
              <w:t>各</w:t>
            </w:r>
            <w:r>
              <w:rPr>
                <w:rFonts w:hint="eastAsia" w:ascii="宋体" w:hAnsi="宋体" w:eastAsia="宋体" w:cs="宋体"/>
                <w:sz w:val="24"/>
                <w:szCs w:val="24"/>
                <w:lang w:val="zh-CN" w:eastAsia="zh-CN"/>
              </w:rPr>
              <w:t>单位的资格审查文件进行评审，评审</w:t>
            </w:r>
            <w:r>
              <w:rPr>
                <w:rFonts w:hint="eastAsia" w:ascii="宋体" w:hAnsi="宋体" w:eastAsia="宋体" w:cs="宋体"/>
                <w:sz w:val="24"/>
                <w:szCs w:val="24"/>
                <w:lang w:eastAsia="zh-CN"/>
              </w:rPr>
              <w:t>不</w:t>
            </w:r>
            <w:r>
              <w:rPr>
                <w:rFonts w:hint="eastAsia" w:ascii="宋体" w:hAnsi="宋体" w:eastAsia="宋体" w:cs="宋体"/>
                <w:sz w:val="24"/>
                <w:szCs w:val="24"/>
                <w:lang w:val="zh-CN" w:eastAsia="zh-CN"/>
              </w:rPr>
              <w:t>合格的</w:t>
            </w:r>
            <w:r>
              <w:rPr>
                <w:rFonts w:hint="eastAsia" w:ascii="宋体" w:hAnsi="宋体" w:eastAsia="宋体" w:cs="宋体"/>
                <w:sz w:val="24"/>
                <w:szCs w:val="24"/>
                <w:lang w:eastAsia="zh-CN"/>
              </w:rPr>
              <w:t>供应商不</w:t>
            </w:r>
            <w:r>
              <w:rPr>
                <w:rFonts w:hint="eastAsia" w:ascii="宋体" w:hAnsi="宋体" w:eastAsia="宋体" w:cs="宋体"/>
                <w:sz w:val="24"/>
                <w:szCs w:val="24"/>
                <w:lang w:val="zh-CN" w:eastAsia="zh-CN"/>
              </w:rPr>
              <w:t>进入下一阶段评审。</w:t>
            </w:r>
          </w:p>
          <w:p w14:paraId="5EE1462B">
            <w:pPr>
              <w:rPr>
                <w:lang w:eastAsia="zh-CN"/>
              </w:rPr>
            </w:pPr>
            <w:r>
              <w:rPr>
                <w:rFonts w:hint="eastAsia" w:ascii="宋体" w:hAnsi="宋体" w:eastAsia="宋体" w:cs="宋体"/>
                <w:sz w:val="24"/>
                <w:szCs w:val="24"/>
                <w:lang w:val="zh-CN" w:eastAsia="zh-CN"/>
              </w:rPr>
              <w:t>2、</w:t>
            </w:r>
            <w:r>
              <w:rPr>
                <w:rFonts w:hint="eastAsia" w:ascii="宋体" w:hAnsi="宋体" w:eastAsia="宋体" w:cs="宋体"/>
                <w:sz w:val="24"/>
                <w:szCs w:val="24"/>
                <w:lang w:eastAsia="zh-CN"/>
              </w:rPr>
              <w:t>供应商</w:t>
            </w:r>
            <w:r>
              <w:rPr>
                <w:rFonts w:hint="eastAsia" w:ascii="宋体" w:hAnsi="宋体" w:eastAsia="宋体" w:cs="宋体"/>
                <w:sz w:val="24"/>
                <w:szCs w:val="24"/>
                <w:lang w:val="zh-CN" w:eastAsia="zh-CN"/>
              </w:rPr>
              <w:t>在资格审查文件中按照《公告》 “</w:t>
            </w:r>
            <w:r>
              <w:rPr>
                <w:rFonts w:hint="eastAsia" w:ascii="宋体" w:hAnsi="宋体" w:eastAsia="宋体" w:cs="宋体"/>
                <w:sz w:val="24"/>
                <w:szCs w:val="24"/>
                <w:lang w:eastAsia="zh-CN"/>
              </w:rPr>
              <w:t>供应商的</w:t>
            </w:r>
            <w:r>
              <w:rPr>
                <w:rFonts w:hint="eastAsia" w:ascii="宋体" w:hAnsi="宋体" w:eastAsia="宋体" w:cs="宋体"/>
                <w:sz w:val="24"/>
                <w:szCs w:val="24"/>
                <w:lang w:val="zh-CN" w:eastAsia="zh-CN"/>
              </w:rPr>
              <w:t>资格要求”逐条对应编写，提供能够证明自身资质能力的相关材料，包括但不限于：营业执照、资质证书、体系认证、财务报表、合同、验收证明、证书等。</w:t>
            </w:r>
          </w:p>
        </w:tc>
      </w:tr>
      <w:tr w14:paraId="301D0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62" w:type="dxa"/>
            <w:vAlign w:val="center"/>
          </w:tcPr>
          <w:p w14:paraId="57DC3505">
            <w:pPr>
              <w:pStyle w:val="21"/>
              <w:spacing w:before="234" w:line="184" w:lineRule="auto"/>
              <w:ind w:left="206"/>
              <w:rPr>
                <w:rFonts w:hint="eastAsia"/>
              </w:rPr>
            </w:pPr>
            <w:r>
              <w:rPr>
                <w:spacing w:val="-6"/>
              </w:rPr>
              <w:t>1.4.2</w:t>
            </w:r>
          </w:p>
        </w:tc>
        <w:tc>
          <w:tcPr>
            <w:tcW w:w="1659" w:type="dxa"/>
            <w:vAlign w:val="center"/>
          </w:tcPr>
          <w:p w14:paraId="35EAF017">
            <w:pPr>
              <w:pStyle w:val="21"/>
              <w:spacing w:before="41" w:line="222" w:lineRule="auto"/>
              <w:ind w:left="715" w:right="108" w:hanging="596"/>
              <w:rPr>
                <w:rFonts w:hint="eastAsia"/>
              </w:rPr>
            </w:pPr>
            <w:r>
              <w:rPr>
                <w:spacing w:val="-3"/>
              </w:rPr>
              <w:t>是否接受联合</w:t>
            </w:r>
            <w:r>
              <w:rPr>
                <w:spacing w:val="3"/>
              </w:rPr>
              <w:t xml:space="preserve"> </w:t>
            </w:r>
            <w:r>
              <w:t>体</w:t>
            </w:r>
          </w:p>
        </w:tc>
        <w:tc>
          <w:tcPr>
            <w:tcW w:w="7152" w:type="dxa"/>
            <w:vAlign w:val="center"/>
          </w:tcPr>
          <w:p w14:paraId="110962B9">
            <w:pPr>
              <w:pStyle w:val="21"/>
              <w:spacing w:before="214" w:line="221" w:lineRule="auto"/>
              <w:ind w:left="118"/>
              <w:rPr>
                <w:rFonts w:hint="eastAsia"/>
                <w:lang w:eastAsia="zh-CN"/>
              </w:rPr>
            </w:pPr>
            <w:r>
              <w:rPr>
                <w:spacing w:val="-5"/>
              </w:rPr>
              <w:t>不</w:t>
            </w:r>
            <w:r>
              <w:rPr>
                <w:rFonts w:hint="eastAsia"/>
                <w:spacing w:val="-5"/>
                <w:lang w:eastAsia="zh-CN"/>
              </w:rPr>
              <w:t>接受</w:t>
            </w:r>
          </w:p>
        </w:tc>
      </w:tr>
      <w:tr w14:paraId="0E83C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62" w:type="dxa"/>
            <w:vAlign w:val="center"/>
          </w:tcPr>
          <w:p w14:paraId="64C1574E">
            <w:pPr>
              <w:pStyle w:val="21"/>
              <w:spacing w:before="234" w:line="184" w:lineRule="auto"/>
              <w:ind w:firstLine="220" w:firstLineChars="100"/>
              <w:rPr>
                <w:rFonts w:hint="eastAsia"/>
                <w:lang w:eastAsia="zh-CN"/>
              </w:rPr>
            </w:pPr>
            <w:r>
              <w:rPr>
                <w:rFonts w:hint="eastAsia"/>
                <w:spacing w:val="-10"/>
                <w:lang w:eastAsia="zh-CN"/>
              </w:rPr>
              <w:t>1.5</w:t>
            </w:r>
          </w:p>
        </w:tc>
        <w:tc>
          <w:tcPr>
            <w:tcW w:w="1659" w:type="dxa"/>
            <w:vAlign w:val="center"/>
          </w:tcPr>
          <w:p w14:paraId="683F33A2">
            <w:pPr>
              <w:pStyle w:val="21"/>
              <w:spacing w:before="41" w:line="222" w:lineRule="auto"/>
              <w:ind w:left="596" w:right="108" w:hanging="477"/>
              <w:rPr>
                <w:rFonts w:hint="eastAsia"/>
              </w:rPr>
            </w:pPr>
            <w:r>
              <w:rPr>
                <w:spacing w:val="-3"/>
              </w:rPr>
              <w:t>是否组织现场</w:t>
            </w:r>
            <w:r>
              <w:rPr>
                <w:spacing w:val="3"/>
              </w:rPr>
              <w:t xml:space="preserve"> </w:t>
            </w:r>
            <w:r>
              <w:rPr>
                <w:spacing w:val="-6"/>
              </w:rPr>
              <w:t>踏勘</w:t>
            </w:r>
          </w:p>
        </w:tc>
        <w:tc>
          <w:tcPr>
            <w:tcW w:w="7152" w:type="dxa"/>
            <w:vAlign w:val="center"/>
          </w:tcPr>
          <w:p w14:paraId="5BACC80F">
            <w:pPr>
              <w:pStyle w:val="21"/>
              <w:spacing w:before="214" w:line="219" w:lineRule="auto"/>
              <w:ind w:left="118"/>
              <w:rPr>
                <w:rFonts w:hint="eastAsia"/>
                <w:lang w:eastAsia="zh-CN"/>
              </w:rPr>
            </w:pPr>
            <w:r>
              <w:rPr>
                <w:spacing w:val="-2"/>
                <w:lang w:eastAsia="zh-CN"/>
              </w:rPr>
              <w:t>不统一组织现场踏勘</w:t>
            </w:r>
            <w:r>
              <w:rPr>
                <w:rFonts w:hint="eastAsia"/>
                <w:spacing w:val="-2"/>
                <w:lang w:eastAsia="zh-CN"/>
              </w:rPr>
              <w:t>，需要踏勘现场工作日内自行踏勘，费用自理。</w:t>
            </w:r>
          </w:p>
        </w:tc>
      </w:tr>
      <w:tr w14:paraId="1F381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 w:hRule="atLeast"/>
        </w:trPr>
        <w:tc>
          <w:tcPr>
            <w:tcW w:w="962" w:type="dxa"/>
            <w:vAlign w:val="center"/>
          </w:tcPr>
          <w:p w14:paraId="7113949C">
            <w:pPr>
              <w:pStyle w:val="21"/>
              <w:spacing w:before="92" w:line="184" w:lineRule="auto"/>
              <w:ind w:left="266"/>
              <w:rPr>
                <w:rFonts w:hint="eastAsia"/>
                <w:lang w:eastAsia="zh-CN"/>
              </w:rPr>
            </w:pPr>
            <w:r>
              <w:rPr>
                <w:rFonts w:hint="eastAsia"/>
                <w:spacing w:val="-7"/>
                <w:lang w:eastAsia="zh-CN"/>
              </w:rPr>
              <w:t>1.6</w:t>
            </w:r>
          </w:p>
        </w:tc>
        <w:tc>
          <w:tcPr>
            <w:tcW w:w="1659" w:type="dxa"/>
            <w:vAlign w:val="center"/>
          </w:tcPr>
          <w:p w14:paraId="173921A8">
            <w:pPr>
              <w:pStyle w:val="21"/>
              <w:spacing w:before="56" w:line="216" w:lineRule="auto"/>
              <w:ind w:left="234"/>
              <w:rPr>
                <w:rFonts w:hint="eastAsia"/>
              </w:rPr>
            </w:pPr>
            <w:r>
              <w:rPr>
                <w:spacing w:val="-2"/>
              </w:rPr>
              <w:t>谈判预备会</w:t>
            </w:r>
          </w:p>
        </w:tc>
        <w:tc>
          <w:tcPr>
            <w:tcW w:w="7152" w:type="dxa"/>
            <w:vAlign w:val="center"/>
          </w:tcPr>
          <w:p w14:paraId="05CCDC9D">
            <w:pPr>
              <w:pStyle w:val="21"/>
              <w:spacing w:before="71" w:line="204" w:lineRule="auto"/>
              <w:ind w:left="118"/>
              <w:rPr>
                <w:rFonts w:hint="eastAsia"/>
              </w:rPr>
            </w:pPr>
            <w:r>
              <w:rPr>
                <w:spacing w:val="-5"/>
              </w:rPr>
              <w:t>不召开</w:t>
            </w:r>
          </w:p>
        </w:tc>
      </w:tr>
    </w:tbl>
    <w:p w14:paraId="45E87B42">
      <w:pPr>
        <w:sectPr>
          <w:footerReference r:id="rId5" w:type="default"/>
          <w:pgSz w:w="11906" w:h="16839"/>
          <w:pgMar w:top="1431" w:right="1064" w:bottom="1156" w:left="1063" w:header="0" w:footer="994" w:gutter="0"/>
          <w:cols w:space="720" w:num="1"/>
        </w:sectPr>
      </w:pPr>
    </w:p>
    <w:tbl>
      <w:tblPr>
        <w:tblStyle w:val="20"/>
        <w:tblW w:w="97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1659"/>
        <w:gridCol w:w="7152"/>
      </w:tblGrid>
      <w:tr w14:paraId="4396A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c>
          <w:tcPr>
            <w:tcW w:w="962" w:type="dxa"/>
          </w:tcPr>
          <w:p w14:paraId="02CD5CB6">
            <w:pPr>
              <w:spacing w:line="278" w:lineRule="auto"/>
            </w:pPr>
          </w:p>
          <w:p w14:paraId="1B6A5B68">
            <w:pPr>
              <w:spacing w:line="278" w:lineRule="auto"/>
            </w:pPr>
          </w:p>
          <w:p w14:paraId="5A415B7B">
            <w:pPr>
              <w:pStyle w:val="21"/>
              <w:spacing w:before="78" w:line="184" w:lineRule="auto"/>
              <w:ind w:left="192"/>
              <w:rPr>
                <w:rFonts w:hint="eastAsia"/>
                <w:lang w:eastAsia="zh-CN"/>
              </w:rPr>
            </w:pPr>
            <w:r>
              <w:rPr>
                <w:rFonts w:hint="eastAsia"/>
                <w:spacing w:val="-3"/>
                <w:lang w:eastAsia="zh-CN"/>
              </w:rPr>
              <w:t>2.1</w:t>
            </w:r>
          </w:p>
        </w:tc>
        <w:tc>
          <w:tcPr>
            <w:tcW w:w="1659" w:type="dxa"/>
          </w:tcPr>
          <w:p w14:paraId="185F5F18">
            <w:pPr>
              <w:spacing w:line="363" w:lineRule="auto"/>
            </w:pPr>
          </w:p>
          <w:p w14:paraId="1DCFD44B">
            <w:pPr>
              <w:pStyle w:val="21"/>
              <w:spacing w:before="78" w:line="263" w:lineRule="auto"/>
              <w:ind w:left="714" w:right="108" w:hanging="600"/>
              <w:rPr>
                <w:rFonts w:hint="eastAsia"/>
              </w:rPr>
            </w:pPr>
            <w:r>
              <w:rPr>
                <w:spacing w:val="-2"/>
              </w:rPr>
              <w:t>谈判文件的发</w:t>
            </w:r>
            <w:r>
              <w:rPr>
                <w:spacing w:val="2"/>
              </w:rPr>
              <w:t xml:space="preserve"> </w:t>
            </w:r>
            <w:r>
              <w:t>布</w:t>
            </w:r>
          </w:p>
        </w:tc>
        <w:tc>
          <w:tcPr>
            <w:tcW w:w="7152" w:type="dxa"/>
          </w:tcPr>
          <w:p w14:paraId="490FFA0B">
            <w:pPr>
              <w:pStyle w:val="21"/>
              <w:spacing w:before="107" w:line="210" w:lineRule="auto"/>
              <w:ind w:left="115"/>
              <w:rPr>
                <w:rFonts w:hint="eastAsia"/>
                <w:lang w:eastAsia="zh-CN"/>
              </w:rPr>
            </w:pPr>
            <w:r>
              <w:rPr>
                <w:spacing w:val="-1"/>
                <w:lang w:eastAsia="zh-CN"/>
              </w:rPr>
              <w:t>本谈判文件在济钢集团有限公司阳光购销平台（网址：</w:t>
            </w:r>
          </w:p>
          <w:p w14:paraId="04F845B3">
            <w:pPr>
              <w:pStyle w:val="21"/>
              <w:spacing w:before="66" w:line="252" w:lineRule="auto"/>
              <w:ind w:left="113" w:right="108" w:hanging="2"/>
              <w:jc w:val="both"/>
              <w:rPr>
                <w:rFonts w:hint="eastAsia"/>
                <w:lang w:eastAsia="zh-CN"/>
              </w:rPr>
            </w:pPr>
            <w:r>
              <w:fldChar w:fldCharType="begin"/>
            </w:r>
            <w:r>
              <w:instrText xml:space="preserve"> HYPERLINK "http://bidding.jigang.com.cn" </w:instrText>
            </w:r>
            <w:r>
              <w:fldChar w:fldCharType="separate"/>
            </w:r>
            <w:r>
              <w:rPr>
                <w:spacing w:val="-1"/>
                <w:lang w:eastAsia="zh-CN"/>
              </w:rPr>
              <w:t>http://bidding.jigang.com.cn</w:t>
            </w:r>
            <w:r>
              <w:rPr>
                <w:spacing w:val="-1"/>
                <w:lang w:eastAsia="zh-CN"/>
              </w:rPr>
              <w:fldChar w:fldCharType="end"/>
            </w:r>
            <w:r>
              <w:rPr>
                <w:spacing w:val="-1"/>
                <w:lang w:eastAsia="zh-CN"/>
              </w:rPr>
              <w:t>/） 上发布。除上述媒介以外的媒</w:t>
            </w:r>
            <w:r>
              <w:rPr>
                <w:spacing w:val="10"/>
                <w:lang w:eastAsia="zh-CN"/>
              </w:rPr>
              <w:t xml:space="preserve"> </w:t>
            </w:r>
            <w:r>
              <w:rPr>
                <w:spacing w:val="-1"/>
                <w:lang w:eastAsia="zh-CN"/>
              </w:rPr>
              <w:t>介转载或发布与本次谈判相关信息的，采购人不</w:t>
            </w:r>
            <w:r>
              <w:rPr>
                <w:spacing w:val="-2"/>
                <w:lang w:eastAsia="zh-CN"/>
              </w:rPr>
              <w:t>承担任何责任并保</w:t>
            </w:r>
            <w:r>
              <w:rPr>
                <w:lang w:eastAsia="zh-CN"/>
              </w:rPr>
              <w:t xml:space="preserve"> </w:t>
            </w:r>
            <w:r>
              <w:rPr>
                <w:spacing w:val="-1"/>
                <w:lang w:eastAsia="zh-CN"/>
              </w:rPr>
              <w:t>留追究相关方责任的权利。</w:t>
            </w:r>
          </w:p>
        </w:tc>
      </w:tr>
      <w:tr w14:paraId="139D4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0552C99D">
            <w:pPr>
              <w:spacing w:line="282" w:lineRule="auto"/>
              <w:rPr>
                <w:lang w:eastAsia="zh-CN"/>
              </w:rPr>
            </w:pPr>
          </w:p>
          <w:p w14:paraId="540D43EE">
            <w:pPr>
              <w:pStyle w:val="21"/>
              <w:spacing w:before="78" w:line="183" w:lineRule="auto"/>
              <w:ind w:left="192"/>
              <w:rPr>
                <w:rFonts w:hint="eastAsia"/>
              </w:rPr>
            </w:pPr>
            <w:r>
              <w:rPr>
                <w:spacing w:val="-3"/>
              </w:rPr>
              <w:t>2.2</w:t>
            </w:r>
          </w:p>
        </w:tc>
        <w:tc>
          <w:tcPr>
            <w:tcW w:w="1659" w:type="dxa"/>
          </w:tcPr>
          <w:p w14:paraId="1BF3EEA2">
            <w:pPr>
              <w:pStyle w:val="21"/>
              <w:spacing w:before="148" w:line="281" w:lineRule="auto"/>
              <w:ind w:left="714" w:right="108" w:hanging="600"/>
              <w:rPr>
                <w:rFonts w:hint="eastAsia"/>
              </w:rPr>
            </w:pPr>
            <w:r>
              <w:rPr>
                <w:spacing w:val="-2"/>
              </w:rPr>
              <w:t>谈判文件的澄</w:t>
            </w:r>
            <w:r>
              <w:rPr>
                <w:spacing w:val="2"/>
              </w:rPr>
              <w:t xml:space="preserve"> </w:t>
            </w:r>
            <w:r>
              <w:t>清</w:t>
            </w:r>
          </w:p>
        </w:tc>
        <w:tc>
          <w:tcPr>
            <w:tcW w:w="7152" w:type="dxa"/>
          </w:tcPr>
          <w:p w14:paraId="78168946">
            <w:pPr>
              <w:pStyle w:val="21"/>
              <w:spacing w:before="158" w:line="277" w:lineRule="auto"/>
              <w:ind w:left="131" w:right="108" w:hanging="18"/>
              <w:rPr>
                <w:rFonts w:hint="eastAsia"/>
                <w:lang w:eastAsia="zh-CN"/>
              </w:rPr>
            </w:pPr>
            <w:r>
              <w:rPr>
                <w:spacing w:val="-4"/>
                <w:lang w:eastAsia="zh-CN"/>
              </w:rPr>
              <w:t>谈判文件澄清的截止时间为谈判开始前</w:t>
            </w:r>
            <w:r>
              <w:rPr>
                <w:spacing w:val="-36"/>
                <w:lang w:eastAsia="zh-CN"/>
              </w:rPr>
              <w:t xml:space="preserve"> </w:t>
            </w:r>
            <w:r>
              <w:rPr>
                <w:spacing w:val="-4"/>
                <w:lang w:eastAsia="zh-CN"/>
              </w:rPr>
              <w:t>2 日，在济钢集团有限公司</w:t>
            </w:r>
            <w:r>
              <w:rPr>
                <w:lang w:eastAsia="zh-CN"/>
              </w:rPr>
              <w:t xml:space="preserve"> </w:t>
            </w:r>
            <w:r>
              <w:rPr>
                <w:spacing w:val="-1"/>
                <w:lang w:eastAsia="zh-CN"/>
              </w:rPr>
              <w:t>阳光购销平台（网址：</w:t>
            </w:r>
            <w:r>
              <w:fldChar w:fldCharType="begin"/>
            </w:r>
            <w:r>
              <w:rPr>
                <w:lang w:eastAsia="zh-CN"/>
              </w:rPr>
              <w:instrText xml:space="preserve">HYPERLINK "http://bidding.jigang.com.cn"</w:instrText>
            </w:r>
            <w:r>
              <w:rPr>
                <w:rFonts w:hint="eastAsia"/>
              </w:rPr>
              <w:fldChar w:fldCharType="separate"/>
            </w:r>
            <w:r>
              <w:rPr>
                <w:spacing w:val="-1"/>
                <w:lang w:eastAsia="zh-CN"/>
              </w:rPr>
              <w:t>http://bidding.jigang.c</w:t>
            </w:r>
            <w:r>
              <w:rPr>
                <w:spacing w:val="-2"/>
                <w:lang w:eastAsia="zh-CN"/>
              </w:rPr>
              <w:t>om.cn</w:t>
            </w:r>
            <w:r>
              <w:fldChar w:fldCharType="end"/>
            </w:r>
            <w:r>
              <w:rPr>
                <w:spacing w:val="-2"/>
                <w:lang w:eastAsia="zh-CN"/>
              </w:rPr>
              <w:t>/） 上发布</w:t>
            </w:r>
          </w:p>
        </w:tc>
      </w:tr>
      <w:tr w14:paraId="480DF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14A4807F">
            <w:pPr>
              <w:spacing w:line="316" w:lineRule="auto"/>
              <w:rPr>
                <w:lang w:eastAsia="zh-CN"/>
              </w:rPr>
            </w:pPr>
          </w:p>
          <w:p w14:paraId="05E240A3">
            <w:pPr>
              <w:spacing w:line="317" w:lineRule="auto"/>
              <w:rPr>
                <w:lang w:eastAsia="zh-CN"/>
              </w:rPr>
            </w:pPr>
          </w:p>
          <w:p w14:paraId="53D65F0B">
            <w:pPr>
              <w:pStyle w:val="21"/>
              <w:spacing w:before="78" w:line="183" w:lineRule="auto"/>
              <w:ind w:left="312"/>
              <w:rPr>
                <w:rFonts w:hint="eastAsia"/>
              </w:rPr>
            </w:pPr>
            <w:r>
              <w:rPr>
                <w:spacing w:val="-5"/>
              </w:rPr>
              <w:t>2.3</w:t>
            </w:r>
          </w:p>
        </w:tc>
        <w:tc>
          <w:tcPr>
            <w:tcW w:w="1659" w:type="dxa"/>
          </w:tcPr>
          <w:p w14:paraId="6208FAD1">
            <w:pPr>
              <w:spacing w:line="437" w:lineRule="auto"/>
            </w:pPr>
          </w:p>
          <w:p w14:paraId="0D8B0B41">
            <w:pPr>
              <w:pStyle w:val="21"/>
              <w:spacing w:before="78" w:line="264" w:lineRule="auto"/>
              <w:ind w:left="723" w:right="108" w:hanging="609"/>
              <w:rPr>
                <w:rFonts w:hint="eastAsia"/>
              </w:rPr>
            </w:pPr>
            <w:r>
              <w:rPr>
                <w:spacing w:val="-2"/>
              </w:rPr>
              <w:t>谈判文件的修</w:t>
            </w:r>
            <w:r>
              <w:rPr>
                <w:spacing w:val="2"/>
              </w:rPr>
              <w:t xml:space="preserve"> </w:t>
            </w:r>
            <w:r>
              <w:t>改</w:t>
            </w:r>
          </w:p>
        </w:tc>
        <w:tc>
          <w:tcPr>
            <w:tcW w:w="7152" w:type="dxa"/>
          </w:tcPr>
          <w:p w14:paraId="2A3B8299">
            <w:pPr>
              <w:pStyle w:val="21"/>
              <w:spacing w:before="114" w:line="283" w:lineRule="auto"/>
              <w:ind w:left="113" w:right="27"/>
              <w:jc w:val="both"/>
              <w:rPr>
                <w:rFonts w:hint="eastAsia"/>
                <w:lang w:eastAsia="zh-CN"/>
              </w:rPr>
            </w:pPr>
            <w:r>
              <w:rPr>
                <w:spacing w:val="-4"/>
                <w:lang w:eastAsia="zh-CN"/>
              </w:rPr>
              <w:t>谈判文件修改的截止时间为谈判开始前</w:t>
            </w:r>
            <w:r>
              <w:rPr>
                <w:spacing w:val="-36"/>
                <w:lang w:eastAsia="zh-CN"/>
              </w:rPr>
              <w:t xml:space="preserve"> </w:t>
            </w:r>
            <w:r>
              <w:rPr>
                <w:spacing w:val="-4"/>
                <w:lang w:eastAsia="zh-CN"/>
              </w:rPr>
              <w:t>2 日，在济钢集团有限公司</w:t>
            </w:r>
            <w:r>
              <w:rPr>
                <w:lang w:eastAsia="zh-CN"/>
              </w:rPr>
              <w:t xml:space="preserve"> </w:t>
            </w:r>
            <w:r>
              <w:rPr>
                <w:spacing w:val="-4"/>
                <w:lang w:eastAsia="zh-CN"/>
              </w:rPr>
              <w:t>阳光购销平台（网址：</w:t>
            </w:r>
            <w:r>
              <w:fldChar w:fldCharType="begin"/>
            </w:r>
            <w:r>
              <w:rPr>
                <w:lang w:eastAsia="zh-CN"/>
              </w:rPr>
              <w:instrText xml:space="preserve">HYPERLINK "http://bidding.jigang.com.cn"</w:instrText>
            </w:r>
            <w:r>
              <w:rPr>
                <w:rFonts w:hint="eastAsia"/>
              </w:rPr>
              <w:fldChar w:fldCharType="separate"/>
            </w:r>
            <w:r>
              <w:rPr>
                <w:spacing w:val="-4"/>
                <w:lang w:eastAsia="zh-CN"/>
              </w:rPr>
              <w:t>http://bidding.jigang.com.cn</w:t>
            </w:r>
            <w:r>
              <w:fldChar w:fldCharType="end"/>
            </w:r>
            <w:r>
              <w:rPr>
                <w:spacing w:val="-4"/>
                <w:lang w:eastAsia="zh-CN"/>
              </w:rPr>
              <w:t>/）</w:t>
            </w:r>
            <w:r>
              <w:rPr>
                <w:spacing w:val="-20"/>
                <w:lang w:eastAsia="zh-CN"/>
              </w:rPr>
              <w:t xml:space="preserve"> </w:t>
            </w:r>
            <w:r>
              <w:rPr>
                <w:spacing w:val="-4"/>
                <w:lang w:eastAsia="zh-CN"/>
              </w:rPr>
              <w:t>上发布。</w:t>
            </w:r>
            <w:r>
              <w:rPr>
                <w:lang w:eastAsia="zh-CN"/>
              </w:rPr>
              <w:t xml:space="preserve"> </w:t>
            </w:r>
            <w:r>
              <w:rPr>
                <w:spacing w:val="-3"/>
                <w:lang w:eastAsia="zh-CN"/>
              </w:rPr>
              <w:t>采购人对谈判文件修改距谈判时间不足</w:t>
            </w:r>
            <w:r>
              <w:rPr>
                <w:spacing w:val="-23"/>
                <w:lang w:eastAsia="zh-CN"/>
              </w:rPr>
              <w:t xml:space="preserve"> </w:t>
            </w:r>
            <w:r>
              <w:rPr>
                <w:spacing w:val="-3"/>
                <w:lang w:eastAsia="zh-CN"/>
              </w:rPr>
              <w:t>1</w:t>
            </w:r>
            <w:r>
              <w:rPr>
                <w:spacing w:val="-46"/>
                <w:lang w:eastAsia="zh-CN"/>
              </w:rPr>
              <w:t xml:space="preserve"> </w:t>
            </w:r>
            <w:r>
              <w:rPr>
                <w:spacing w:val="-3"/>
                <w:lang w:eastAsia="zh-CN"/>
              </w:rPr>
              <w:t>天的，相应延长谈判开始</w:t>
            </w:r>
            <w:r>
              <w:rPr>
                <w:lang w:eastAsia="zh-CN"/>
              </w:rPr>
              <w:t xml:space="preserve"> </w:t>
            </w:r>
            <w:r>
              <w:rPr>
                <w:spacing w:val="-3"/>
                <w:lang w:eastAsia="zh-CN"/>
              </w:rPr>
              <w:t>时间。</w:t>
            </w:r>
          </w:p>
        </w:tc>
      </w:tr>
      <w:tr w14:paraId="7E002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5A59B4ED">
            <w:pPr>
              <w:pStyle w:val="21"/>
              <w:spacing w:before="279" w:line="184" w:lineRule="auto"/>
              <w:ind w:left="192"/>
              <w:rPr>
                <w:rFonts w:hint="eastAsia"/>
                <w:lang w:eastAsia="zh-CN"/>
              </w:rPr>
            </w:pPr>
            <w:r>
              <w:rPr>
                <w:rFonts w:hint="eastAsia"/>
                <w:spacing w:val="-3"/>
                <w:lang w:eastAsia="zh-CN"/>
              </w:rPr>
              <w:t>2.4</w:t>
            </w:r>
          </w:p>
        </w:tc>
        <w:tc>
          <w:tcPr>
            <w:tcW w:w="1659" w:type="dxa"/>
          </w:tcPr>
          <w:p w14:paraId="3E7EC622">
            <w:pPr>
              <w:pStyle w:val="21"/>
              <w:spacing w:before="85" w:line="242" w:lineRule="auto"/>
              <w:ind w:left="131" w:right="110" w:hanging="16"/>
              <w:rPr>
                <w:rFonts w:hint="eastAsia"/>
                <w:lang w:eastAsia="zh-CN"/>
              </w:rPr>
            </w:pPr>
            <w:r>
              <w:rPr>
                <w:spacing w:val="-3"/>
                <w:lang w:eastAsia="zh-CN"/>
              </w:rPr>
              <w:t>构成谈判文件</w:t>
            </w:r>
            <w:r>
              <w:rPr>
                <w:spacing w:val="4"/>
                <w:lang w:eastAsia="zh-CN"/>
              </w:rPr>
              <w:t xml:space="preserve"> </w:t>
            </w:r>
            <w:r>
              <w:rPr>
                <w:spacing w:val="-6"/>
                <w:lang w:eastAsia="zh-CN"/>
              </w:rPr>
              <w:t>的其他材料</w:t>
            </w:r>
          </w:p>
        </w:tc>
        <w:tc>
          <w:tcPr>
            <w:tcW w:w="7152" w:type="dxa"/>
          </w:tcPr>
          <w:p w14:paraId="2083DE9F">
            <w:pPr>
              <w:pStyle w:val="21"/>
              <w:spacing w:before="258" w:line="219" w:lineRule="auto"/>
              <w:ind w:left="113"/>
              <w:rPr>
                <w:rFonts w:hint="eastAsia"/>
                <w:lang w:eastAsia="zh-CN"/>
              </w:rPr>
            </w:pPr>
            <w:r>
              <w:rPr>
                <w:spacing w:val="-1"/>
                <w:lang w:eastAsia="zh-CN"/>
              </w:rPr>
              <w:t>谈判文件澄清、答疑、补充文件等</w:t>
            </w:r>
          </w:p>
        </w:tc>
      </w:tr>
      <w:tr w14:paraId="32010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67AC10A4">
            <w:pPr>
              <w:pStyle w:val="21"/>
              <w:spacing w:before="99" w:line="184" w:lineRule="auto"/>
              <w:ind w:left="193"/>
              <w:rPr>
                <w:rFonts w:hint="eastAsia"/>
              </w:rPr>
            </w:pPr>
            <w:r>
              <w:rPr>
                <w:spacing w:val="-3"/>
              </w:rPr>
              <w:t>3.1</w:t>
            </w:r>
          </w:p>
        </w:tc>
        <w:tc>
          <w:tcPr>
            <w:tcW w:w="1659" w:type="dxa"/>
          </w:tcPr>
          <w:p w14:paraId="4F07504C">
            <w:pPr>
              <w:pStyle w:val="21"/>
              <w:spacing w:before="84" w:line="208" w:lineRule="auto"/>
              <w:ind w:left="127"/>
              <w:rPr>
                <w:rFonts w:hint="eastAsia"/>
              </w:rPr>
            </w:pPr>
            <w:r>
              <w:rPr>
                <w:spacing w:val="-4"/>
              </w:rPr>
              <w:t>响应文件内容</w:t>
            </w:r>
          </w:p>
        </w:tc>
        <w:tc>
          <w:tcPr>
            <w:tcW w:w="7152" w:type="dxa"/>
          </w:tcPr>
          <w:p w14:paraId="66A062F3">
            <w:pPr>
              <w:pStyle w:val="21"/>
              <w:spacing w:before="79" w:line="212" w:lineRule="auto"/>
              <w:ind w:left="113"/>
              <w:rPr>
                <w:rFonts w:hint="eastAsia"/>
                <w:lang w:eastAsia="zh-CN"/>
              </w:rPr>
            </w:pPr>
            <w:r>
              <w:rPr>
                <w:spacing w:val="-1"/>
                <w:lang w:eastAsia="zh-CN"/>
              </w:rPr>
              <w:t>谈判文件商务、技术部分内容</w:t>
            </w:r>
          </w:p>
        </w:tc>
      </w:tr>
      <w:tr w14:paraId="0B180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6B9CF9C9">
            <w:pPr>
              <w:spacing w:line="350" w:lineRule="auto"/>
              <w:rPr>
                <w:lang w:eastAsia="zh-CN"/>
              </w:rPr>
            </w:pPr>
          </w:p>
          <w:p w14:paraId="0027810B">
            <w:pPr>
              <w:pStyle w:val="21"/>
              <w:spacing w:before="78" w:line="184" w:lineRule="auto"/>
              <w:ind w:left="193"/>
              <w:rPr>
                <w:rFonts w:hint="eastAsia"/>
              </w:rPr>
            </w:pPr>
            <w:r>
              <w:rPr>
                <w:spacing w:val="-3"/>
              </w:rPr>
              <w:t>3.2</w:t>
            </w:r>
          </w:p>
        </w:tc>
        <w:tc>
          <w:tcPr>
            <w:tcW w:w="1659" w:type="dxa"/>
          </w:tcPr>
          <w:p w14:paraId="068E4191">
            <w:pPr>
              <w:spacing w:line="335" w:lineRule="auto"/>
            </w:pPr>
          </w:p>
          <w:p w14:paraId="1A75FE7E">
            <w:pPr>
              <w:pStyle w:val="21"/>
              <w:spacing w:before="78" w:line="218" w:lineRule="auto"/>
              <w:ind w:left="593"/>
              <w:rPr>
                <w:rFonts w:hint="eastAsia"/>
              </w:rPr>
            </w:pPr>
            <w:r>
              <w:rPr>
                <w:spacing w:val="-4"/>
              </w:rPr>
              <w:t>报价</w:t>
            </w:r>
          </w:p>
        </w:tc>
        <w:tc>
          <w:tcPr>
            <w:tcW w:w="7152" w:type="dxa"/>
          </w:tcPr>
          <w:p w14:paraId="495D992A">
            <w:pPr>
              <w:pStyle w:val="21"/>
              <w:ind w:firstLine="460" w:firstLineChars="200"/>
              <w:rPr>
                <w:rFonts w:hint="eastAsia"/>
                <w:spacing w:val="-5"/>
                <w:lang w:eastAsia="zh-CN"/>
              </w:rPr>
            </w:pPr>
            <w:r>
              <w:rPr>
                <w:spacing w:val="-5"/>
                <w:lang w:eastAsia="zh-CN"/>
              </w:rPr>
              <w:t>1.报价方式：计费基数×费率（‰）。</w:t>
            </w:r>
          </w:p>
          <w:p w14:paraId="3BB0ED12">
            <w:pPr>
              <w:pStyle w:val="21"/>
              <w:ind w:firstLine="472" w:firstLineChars="200"/>
              <w:rPr>
                <w:rFonts w:hint="eastAsia"/>
                <w:lang w:eastAsia="zh-CN"/>
              </w:rPr>
            </w:pPr>
            <w:r>
              <w:rPr>
                <w:spacing w:val="-2"/>
                <w:lang w:eastAsia="zh-CN"/>
              </w:rPr>
              <w:t>2.报价币种：人民币。</w:t>
            </w:r>
          </w:p>
          <w:p w14:paraId="0D838F2A">
            <w:pPr>
              <w:pStyle w:val="21"/>
              <w:ind w:firstLine="472" w:firstLineChars="200"/>
              <w:rPr>
                <w:rFonts w:hint="eastAsia"/>
                <w:lang w:eastAsia="zh-CN"/>
              </w:rPr>
            </w:pPr>
            <w:r>
              <w:rPr>
                <w:spacing w:val="-2"/>
                <w:lang w:eastAsia="zh-CN"/>
              </w:rPr>
              <w:t>3.报价为</w:t>
            </w:r>
            <w:r>
              <w:rPr>
                <w:rFonts w:hint="eastAsia"/>
                <w:spacing w:val="-2"/>
                <w:lang w:eastAsia="zh-CN"/>
              </w:rPr>
              <w:t>含增值税专用发票价格</w:t>
            </w:r>
          </w:p>
        </w:tc>
      </w:tr>
      <w:tr w14:paraId="3F7D3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331CCE64">
            <w:pPr>
              <w:pStyle w:val="21"/>
              <w:spacing w:before="101" w:line="183" w:lineRule="auto"/>
              <w:ind w:left="193"/>
              <w:rPr>
                <w:rFonts w:hint="eastAsia"/>
                <w:lang w:eastAsia="zh-CN"/>
              </w:rPr>
            </w:pPr>
            <w:r>
              <w:rPr>
                <w:spacing w:val="-3"/>
              </w:rPr>
              <w:t>3.</w:t>
            </w:r>
            <w:r>
              <w:rPr>
                <w:rFonts w:hint="eastAsia"/>
                <w:spacing w:val="-3"/>
                <w:lang w:eastAsia="zh-CN"/>
              </w:rPr>
              <w:t>3</w:t>
            </w:r>
          </w:p>
        </w:tc>
        <w:tc>
          <w:tcPr>
            <w:tcW w:w="1659" w:type="dxa"/>
          </w:tcPr>
          <w:p w14:paraId="73268F51">
            <w:pPr>
              <w:pStyle w:val="21"/>
              <w:spacing w:before="84" w:line="208" w:lineRule="auto"/>
              <w:ind w:left="353"/>
              <w:rPr>
                <w:rFonts w:hint="eastAsia"/>
              </w:rPr>
            </w:pPr>
            <w:r>
              <w:rPr>
                <w:spacing w:val="-2"/>
              </w:rPr>
              <w:t>报价修改</w:t>
            </w:r>
          </w:p>
        </w:tc>
        <w:tc>
          <w:tcPr>
            <w:tcW w:w="7152" w:type="dxa"/>
          </w:tcPr>
          <w:p w14:paraId="29551116">
            <w:pPr>
              <w:pStyle w:val="21"/>
              <w:spacing w:before="79" w:line="212" w:lineRule="auto"/>
              <w:ind w:left="117"/>
              <w:rPr>
                <w:rFonts w:hint="eastAsia"/>
                <w:lang w:eastAsia="zh-CN"/>
              </w:rPr>
            </w:pPr>
            <w:r>
              <w:rPr>
                <w:spacing w:val="-3"/>
                <w:lang w:eastAsia="zh-CN"/>
              </w:rPr>
              <w:t>详见谈判须知正文</w:t>
            </w:r>
            <w:r>
              <w:rPr>
                <w:spacing w:val="-35"/>
                <w:lang w:eastAsia="zh-CN"/>
              </w:rPr>
              <w:t xml:space="preserve"> </w:t>
            </w:r>
            <w:r>
              <w:rPr>
                <w:spacing w:val="-3"/>
                <w:lang w:eastAsia="zh-CN"/>
              </w:rPr>
              <w:t>3.2.2</w:t>
            </w:r>
            <w:r>
              <w:rPr>
                <w:spacing w:val="-51"/>
                <w:lang w:eastAsia="zh-CN"/>
              </w:rPr>
              <w:t xml:space="preserve"> </w:t>
            </w:r>
            <w:r>
              <w:rPr>
                <w:spacing w:val="-3"/>
                <w:lang w:eastAsia="zh-CN"/>
              </w:rPr>
              <w:t>节内容</w:t>
            </w:r>
          </w:p>
        </w:tc>
      </w:tr>
      <w:tr w14:paraId="793FA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421F723F">
            <w:pPr>
              <w:pStyle w:val="21"/>
              <w:spacing w:before="99" w:line="184" w:lineRule="auto"/>
              <w:ind w:left="193"/>
              <w:rPr>
                <w:rFonts w:hint="eastAsia"/>
                <w:lang w:eastAsia="zh-CN"/>
              </w:rPr>
            </w:pPr>
            <w:r>
              <w:rPr>
                <w:rFonts w:hint="eastAsia"/>
                <w:spacing w:val="-3"/>
                <w:lang w:eastAsia="zh-CN"/>
              </w:rPr>
              <w:t>3.4</w:t>
            </w:r>
          </w:p>
        </w:tc>
        <w:tc>
          <w:tcPr>
            <w:tcW w:w="1659" w:type="dxa"/>
          </w:tcPr>
          <w:p w14:paraId="4B6EAFA1">
            <w:pPr>
              <w:pStyle w:val="21"/>
              <w:spacing w:before="87" w:line="206" w:lineRule="auto"/>
              <w:ind w:left="234"/>
              <w:rPr>
                <w:rFonts w:hint="eastAsia"/>
              </w:rPr>
            </w:pPr>
            <w:r>
              <w:rPr>
                <w:spacing w:val="-2"/>
              </w:rPr>
              <w:t>谈判有效期</w:t>
            </w:r>
          </w:p>
        </w:tc>
        <w:tc>
          <w:tcPr>
            <w:tcW w:w="7152" w:type="dxa"/>
          </w:tcPr>
          <w:p w14:paraId="70549E09">
            <w:pPr>
              <w:pStyle w:val="21"/>
              <w:spacing w:before="79" w:line="212" w:lineRule="auto"/>
              <w:ind w:left="119"/>
              <w:rPr>
                <w:rFonts w:hint="eastAsia"/>
                <w:lang w:eastAsia="zh-CN"/>
              </w:rPr>
            </w:pPr>
            <w:r>
              <w:rPr>
                <w:spacing w:val="-4"/>
                <w:lang w:eastAsia="zh-CN"/>
              </w:rPr>
              <w:t>30日历天（自递交响应文件截止之日起）</w:t>
            </w:r>
          </w:p>
        </w:tc>
      </w:tr>
      <w:tr w14:paraId="592B7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1990C586">
            <w:pPr>
              <w:pStyle w:val="21"/>
              <w:spacing w:before="162" w:line="183" w:lineRule="auto"/>
              <w:rPr>
                <w:rFonts w:hint="eastAsia"/>
                <w:lang w:eastAsia="zh-CN"/>
              </w:rPr>
            </w:pPr>
            <w:r>
              <w:rPr>
                <w:spacing w:val="-5"/>
              </w:rPr>
              <w:t>3.</w:t>
            </w:r>
            <w:r>
              <w:rPr>
                <w:rFonts w:hint="eastAsia"/>
                <w:spacing w:val="-5"/>
                <w:lang w:eastAsia="zh-CN"/>
              </w:rPr>
              <w:t>5</w:t>
            </w:r>
          </w:p>
        </w:tc>
        <w:tc>
          <w:tcPr>
            <w:tcW w:w="1659" w:type="dxa"/>
          </w:tcPr>
          <w:p w14:paraId="61F65B67">
            <w:pPr>
              <w:pStyle w:val="21"/>
              <w:spacing w:before="146" w:line="220" w:lineRule="auto"/>
              <w:ind w:left="234"/>
              <w:rPr>
                <w:rFonts w:hint="eastAsia"/>
              </w:rPr>
            </w:pPr>
            <w:r>
              <w:rPr>
                <w:spacing w:val="-2"/>
              </w:rPr>
              <w:t>谈判保证金</w:t>
            </w:r>
          </w:p>
        </w:tc>
        <w:tc>
          <w:tcPr>
            <w:tcW w:w="7152" w:type="dxa"/>
          </w:tcPr>
          <w:p w14:paraId="431D6153">
            <w:pPr>
              <w:pStyle w:val="21"/>
              <w:spacing w:before="141" w:line="220" w:lineRule="auto"/>
              <w:ind w:left="116"/>
              <w:rPr>
                <w:rFonts w:hint="eastAsia"/>
              </w:rPr>
            </w:pPr>
            <w:r>
              <w:t>无</w:t>
            </w:r>
          </w:p>
        </w:tc>
      </w:tr>
      <w:tr w14:paraId="038BA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748D9F76">
            <w:pPr>
              <w:pStyle w:val="21"/>
              <w:spacing w:before="78" w:line="184" w:lineRule="auto"/>
              <w:rPr>
                <w:rFonts w:hint="eastAsia"/>
                <w:lang w:eastAsia="zh-CN"/>
              </w:rPr>
            </w:pPr>
            <w:r>
              <w:rPr>
                <w:rFonts w:hint="eastAsia"/>
                <w:spacing w:val="-3"/>
                <w:lang w:eastAsia="zh-CN"/>
              </w:rPr>
              <w:t>3.6</w:t>
            </w:r>
          </w:p>
        </w:tc>
        <w:tc>
          <w:tcPr>
            <w:tcW w:w="1659" w:type="dxa"/>
          </w:tcPr>
          <w:p w14:paraId="782B6D6C">
            <w:pPr>
              <w:pStyle w:val="21"/>
              <w:spacing w:before="78" w:line="219" w:lineRule="auto"/>
              <w:rPr>
                <w:rFonts w:hint="eastAsia"/>
              </w:rPr>
            </w:pPr>
            <w:r>
              <w:rPr>
                <w:spacing w:val="-5"/>
              </w:rPr>
              <w:t>资格审查</w:t>
            </w:r>
          </w:p>
        </w:tc>
        <w:tc>
          <w:tcPr>
            <w:tcW w:w="7152" w:type="dxa"/>
          </w:tcPr>
          <w:p w14:paraId="3511B64E">
            <w:pPr>
              <w:pStyle w:val="21"/>
              <w:spacing w:before="54" w:line="242" w:lineRule="auto"/>
              <w:ind w:left="121" w:right="27" w:hanging="2"/>
              <w:rPr>
                <w:rFonts w:hint="eastAsia"/>
              </w:rPr>
            </w:pPr>
            <w:r>
              <w:rPr>
                <w:rFonts w:hint="eastAsia"/>
              </w:rPr>
              <w:t>资格后审</w:t>
            </w:r>
          </w:p>
        </w:tc>
      </w:tr>
      <w:tr w14:paraId="501A5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1EC86325">
            <w:pPr>
              <w:pStyle w:val="21"/>
              <w:spacing w:before="282" w:line="184" w:lineRule="auto"/>
              <w:ind w:left="193"/>
              <w:rPr>
                <w:rFonts w:hint="eastAsia"/>
                <w:lang w:eastAsia="zh-CN"/>
              </w:rPr>
            </w:pPr>
            <w:r>
              <w:rPr>
                <w:rFonts w:hint="eastAsia"/>
                <w:spacing w:val="-3"/>
                <w:lang w:eastAsia="zh-CN"/>
              </w:rPr>
              <w:t>3.7</w:t>
            </w:r>
          </w:p>
        </w:tc>
        <w:tc>
          <w:tcPr>
            <w:tcW w:w="1659" w:type="dxa"/>
          </w:tcPr>
          <w:p w14:paraId="08903E9D">
            <w:pPr>
              <w:pStyle w:val="21"/>
              <w:spacing w:before="88" w:line="241" w:lineRule="auto"/>
              <w:ind w:left="113" w:right="110" w:hanging="2"/>
              <w:rPr>
                <w:rFonts w:hint="eastAsia"/>
                <w:lang w:eastAsia="zh-CN"/>
              </w:rPr>
            </w:pPr>
            <w:r>
              <w:rPr>
                <w:spacing w:val="-6"/>
                <w:lang w:eastAsia="zh-CN"/>
              </w:rPr>
              <w:t>近</w:t>
            </w:r>
            <w:r>
              <w:rPr>
                <w:spacing w:val="-44"/>
                <w:lang w:eastAsia="zh-CN"/>
              </w:rPr>
              <w:t xml:space="preserve"> </w:t>
            </w:r>
            <w:r>
              <w:rPr>
                <w:spacing w:val="-6"/>
                <w:lang w:eastAsia="zh-CN"/>
              </w:rPr>
              <w:t>3</w:t>
            </w:r>
            <w:r>
              <w:rPr>
                <w:spacing w:val="-50"/>
                <w:lang w:eastAsia="zh-CN"/>
              </w:rPr>
              <w:t xml:space="preserve"> </w:t>
            </w:r>
            <w:r>
              <w:rPr>
                <w:spacing w:val="-6"/>
                <w:lang w:eastAsia="zh-CN"/>
              </w:rPr>
              <w:t>年财务状</w:t>
            </w:r>
            <w:r>
              <w:rPr>
                <w:lang w:eastAsia="zh-CN"/>
              </w:rPr>
              <w:t xml:space="preserve"> </w:t>
            </w:r>
            <w:r>
              <w:rPr>
                <w:spacing w:val="-2"/>
                <w:lang w:eastAsia="zh-CN"/>
              </w:rPr>
              <w:t>况的年份要求</w:t>
            </w:r>
          </w:p>
        </w:tc>
        <w:tc>
          <w:tcPr>
            <w:tcW w:w="7152" w:type="dxa"/>
          </w:tcPr>
          <w:p w14:paraId="20BEBB0B">
            <w:pPr>
              <w:pStyle w:val="21"/>
              <w:spacing w:before="260" w:line="219" w:lineRule="auto"/>
              <w:ind w:left="117" w:firstLine="666" w:firstLineChars="300"/>
              <w:rPr>
                <w:rFonts w:hint="eastAsia"/>
                <w:color w:val="auto"/>
              </w:rPr>
            </w:pPr>
            <w:r>
              <w:rPr>
                <w:rFonts w:hint="eastAsia"/>
                <w:color w:val="auto"/>
                <w:spacing w:val="-9"/>
                <w:lang w:val="en-US" w:eastAsia="zh-CN"/>
              </w:rPr>
              <w:t>2023</w:t>
            </w:r>
            <w:r>
              <w:rPr>
                <w:color w:val="auto"/>
                <w:spacing w:val="-9"/>
              </w:rPr>
              <w:t>年</w:t>
            </w:r>
            <w:r>
              <w:rPr>
                <w:rFonts w:hint="eastAsia"/>
                <w:color w:val="auto"/>
                <w:spacing w:val="-9"/>
                <w:lang w:val="en-US" w:eastAsia="zh-CN"/>
              </w:rPr>
              <w:t>9</w:t>
            </w:r>
            <w:r>
              <w:rPr>
                <w:color w:val="auto"/>
                <w:spacing w:val="-9"/>
              </w:rPr>
              <w:t>月</w:t>
            </w:r>
            <w:r>
              <w:rPr>
                <w:rFonts w:hint="eastAsia"/>
                <w:color w:val="auto"/>
                <w:spacing w:val="-9"/>
                <w:lang w:val="en-US" w:eastAsia="zh-CN"/>
              </w:rPr>
              <w:t>1</w:t>
            </w:r>
            <w:r>
              <w:rPr>
                <w:color w:val="auto"/>
                <w:spacing w:val="-9"/>
              </w:rPr>
              <w:t>日至今。</w:t>
            </w:r>
          </w:p>
        </w:tc>
      </w:tr>
      <w:tr w14:paraId="3A354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1E6338B7">
            <w:pPr>
              <w:pStyle w:val="21"/>
              <w:spacing w:before="283" w:line="183" w:lineRule="auto"/>
              <w:ind w:left="193"/>
              <w:rPr>
                <w:rFonts w:hint="eastAsia"/>
                <w:lang w:eastAsia="zh-CN"/>
              </w:rPr>
            </w:pPr>
            <w:r>
              <w:rPr>
                <w:rFonts w:hint="eastAsia"/>
                <w:lang w:eastAsia="zh-CN"/>
              </w:rPr>
              <w:t>3.8</w:t>
            </w:r>
          </w:p>
        </w:tc>
        <w:tc>
          <w:tcPr>
            <w:tcW w:w="1659" w:type="dxa"/>
          </w:tcPr>
          <w:p w14:paraId="5F83775B">
            <w:pPr>
              <w:pStyle w:val="21"/>
              <w:spacing w:before="85" w:line="242" w:lineRule="auto"/>
              <w:ind w:left="111" w:right="110"/>
              <w:rPr>
                <w:rFonts w:hint="eastAsia"/>
              </w:rPr>
            </w:pPr>
            <w:r>
              <w:rPr>
                <w:spacing w:val="-6"/>
              </w:rPr>
              <w:t>近</w:t>
            </w:r>
            <w:r>
              <w:rPr>
                <w:spacing w:val="-44"/>
              </w:rPr>
              <w:t xml:space="preserve"> </w:t>
            </w:r>
            <w:r>
              <w:rPr>
                <w:spacing w:val="-6"/>
              </w:rPr>
              <w:t>3</w:t>
            </w:r>
            <w:r>
              <w:rPr>
                <w:spacing w:val="-50"/>
              </w:rPr>
              <w:t xml:space="preserve"> </w:t>
            </w:r>
            <w:r>
              <w:rPr>
                <w:spacing w:val="-6"/>
              </w:rPr>
              <w:t>年完成的</w:t>
            </w:r>
            <w:r>
              <w:t xml:space="preserve"> </w:t>
            </w:r>
            <w:r>
              <w:rPr>
                <w:spacing w:val="-3"/>
              </w:rPr>
              <w:t>类似项目</w:t>
            </w:r>
          </w:p>
        </w:tc>
        <w:tc>
          <w:tcPr>
            <w:tcW w:w="7152" w:type="dxa"/>
          </w:tcPr>
          <w:p w14:paraId="5186C4B6">
            <w:pPr>
              <w:pStyle w:val="21"/>
              <w:spacing w:before="260" w:line="219" w:lineRule="auto"/>
              <w:ind w:left="117" w:firstLine="666" w:firstLineChars="300"/>
              <w:rPr>
                <w:rFonts w:hint="eastAsia"/>
                <w:color w:val="auto"/>
              </w:rPr>
            </w:pPr>
            <w:r>
              <w:rPr>
                <w:rFonts w:hint="eastAsia"/>
                <w:color w:val="auto"/>
                <w:spacing w:val="-9"/>
                <w:lang w:val="en-US" w:eastAsia="zh-CN"/>
              </w:rPr>
              <w:t>2023</w:t>
            </w:r>
            <w:r>
              <w:rPr>
                <w:color w:val="auto"/>
                <w:spacing w:val="-9"/>
              </w:rPr>
              <w:t>年</w:t>
            </w:r>
            <w:r>
              <w:rPr>
                <w:rFonts w:hint="eastAsia"/>
                <w:color w:val="auto"/>
                <w:spacing w:val="-9"/>
                <w:lang w:val="en-US" w:eastAsia="zh-CN"/>
              </w:rPr>
              <w:t>9</w:t>
            </w:r>
            <w:r>
              <w:rPr>
                <w:color w:val="auto"/>
                <w:spacing w:val="-9"/>
              </w:rPr>
              <w:t>月</w:t>
            </w:r>
            <w:r>
              <w:rPr>
                <w:rFonts w:hint="eastAsia"/>
                <w:color w:val="auto"/>
                <w:spacing w:val="-9"/>
                <w:lang w:val="en-US" w:eastAsia="zh-CN"/>
              </w:rPr>
              <w:t>1</w:t>
            </w:r>
            <w:r>
              <w:rPr>
                <w:color w:val="auto"/>
                <w:spacing w:val="-9"/>
              </w:rPr>
              <w:t>日至今。</w:t>
            </w:r>
          </w:p>
        </w:tc>
      </w:tr>
      <w:tr w14:paraId="0935B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2A0279C4">
            <w:pPr>
              <w:spacing w:line="382" w:lineRule="auto"/>
            </w:pPr>
          </w:p>
          <w:p w14:paraId="3C0615C4">
            <w:pPr>
              <w:pStyle w:val="21"/>
              <w:spacing w:before="78" w:line="183" w:lineRule="auto"/>
              <w:ind w:left="193"/>
              <w:rPr>
                <w:rFonts w:hint="eastAsia"/>
                <w:lang w:eastAsia="zh-CN"/>
              </w:rPr>
            </w:pPr>
            <w:r>
              <w:rPr>
                <w:rFonts w:hint="eastAsia"/>
                <w:spacing w:val="-3"/>
                <w:lang w:eastAsia="zh-CN"/>
              </w:rPr>
              <w:t>3.9</w:t>
            </w:r>
          </w:p>
        </w:tc>
        <w:tc>
          <w:tcPr>
            <w:tcW w:w="1659" w:type="dxa"/>
          </w:tcPr>
          <w:p w14:paraId="507DD792">
            <w:pPr>
              <w:pStyle w:val="21"/>
              <w:spacing w:before="87" w:line="253" w:lineRule="auto"/>
              <w:ind w:left="111" w:right="110"/>
              <w:jc w:val="both"/>
              <w:rPr>
                <w:rFonts w:hint="eastAsia"/>
                <w:lang w:eastAsia="zh-CN"/>
              </w:rPr>
            </w:pPr>
            <w:r>
              <w:rPr>
                <w:spacing w:val="-6"/>
                <w:lang w:eastAsia="zh-CN"/>
              </w:rPr>
              <w:t>近</w:t>
            </w:r>
            <w:r>
              <w:rPr>
                <w:spacing w:val="-44"/>
                <w:lang w:eastAsia="zh-CN"/>
              </w:rPr>
              <w:t xml:space="preserve"> </w:t>
            </w:r>
            <w:r>
              <w:rPr>
                <w:spacing w:val="-6"/>
                <w:lang w:eastAsia="zh-CN"/>
              </w:rPr>
              <w:t>3</w:t>
            </w:r>
            <w:r>
              <w:rPr>
                <w:spacing w:val="-50"/>
                <w:lang w:eastAsia="zh-CN"/>
              </w:rPr>
              <w:t xml:space="preserve"> </w:t>
            </w:r>
            <w:r>
              <w:rPr>
                <w:spacing w:val="-6"/>
                <w:lang w:eastAsia="zh-CN"/>
              </w:rPr>
              <w:t>年发生的</w:t>
            </w:r>
            <w:r>
              <w:rPr>
                <w:lang w:eastAsia="zh-CN"/>
              </w:rPr>
              <w:t xml:space="preserve"> </w:t>
            </w:r>
            <w:r>
              <w:rPr>
                <w:spacing w:val="-2"/>
                <w:lang w:eastAsia="zh-CN"/>
              </w:rPr>
              <w:t>诉讼及仲裁情</w:t>
            </w:r>
            <w:r>
              <w:rPr>
                <w:spacing w:val="2"/>
                <w:lang w:eastAsia="zh-CN"/>
              </w:rPr>
              <w:t xml:space="preserve"> </w:t>
            </w:r>
            <w:r>
              <w:rPr>
                <w:spacing w:val="-2"/>
                <w:lang w:eastAsia="zh-CN"/>
              </w:rPr>
              <w:t>况的年份要求</w:t>
            </w:r>
          </w:p>
        </w:tc>
        <w:tc>
          <w:tcPr>
            <w:tcW w:w="7152" w:type="dxa"/>
          </w:tcPr>
          <w:p w14:paraId="06C3CDF1">
            <w:pPr>
              <w:spacing w:line="362" w:lineRule="auto"/>
              <w:rPr>
                <w:color w:val="auto"/>
                <w:lang w:eastAsia="zh-CN"/>
              </w:rPr>
            </w:pPr>
          </w:p>
          <w:p w14:paraId="20C0381F">
            <w:pPr>
              <w:pStyle w:val="21"/>
              <w:spacing w:before="78" w:line="219" w:lineRule="auto"/>
              <w:ind w:left="117" w:firstLine="666" w:firstLineChars="300"/>
              <w:rPr>
                <w:rFonts w:hint="eastAsia"/>
                <w:color w:val="auto"/>
              </w:rPr>
            </w:pPr>
            <w:r>
              <w:rPr>
                <w:rFonts w:hint="eastAsia"/>
                <w:color w:val="auto"/>
                <w:spacing w:val="-9"/>
                <w:lang w:val="en-US" w:eastAsia="zh-CN"/>
              </w:rPr>
              <w:t>2023</w:t>
            </w:r>
            <w:r>
              <w:rPr>
                <w:color w:val="auto"/>
                <w:spacing w:val="-9"/>
              </w:rPr>
              <w:t>年</w:t>
            </w:r>
            <w:r>
              <w:rPr>
                <w:rFonts w:hint="eastAsia"/>
                <w:color w:val="auto"/>
                <w:spacing w:val="-9"/>
                <w:lang w:val="en-US" w:eastAsia="zh-CN"/>
              </w:rPr>
              <w:t>9</w:t>
            </w:r>
            <w:r>
              <w:rPr>
                <w:color w:val="auto"/>
                <w:spacing w:val="-9"/>
              </w:rPr>
              <w:t>月</w:t>
            </w:r>
            <w:r>
              <w:rPr>
                <w:rFonts w:hint="eastAsia"/>
                <w:color w:val="auto"/>
                <w:spacing w:val="-9"/>
                <w:lang w:val="en-US" w:eastAsia="zh-CN"/>
              </w:rPr>
              <w:t>1</w:t>
            </w:r>
            <w:r>
              <w:rPr>
                <w:color w:val="auto"/>
                <w:spacing w:val="-9"/>
              </w:rPr>
              <w:t>日至今。</w:t>
            </w:r>
          </w:p>
        </w:tc>
      </w:tr>
      <w:tr w14:paraId="660A0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6DF1FB80">
            <w:pPr>
              <w:pStyle w:val="21"/>
              <w:spacing w:before="282" w:line="184" w:lineRule="auto"/>
              <w:ind w:left="193"/>
              <w:rPr>
                <w:rFonts w:hint="eastAsia"/>
                <w:lang w:eastAsia="zh-CN"/>
              </w:rPr>
            </w:pPr>
            <w:r>
              <w:rPr>
                <w:rFonts w:hint="eastAsia"/>
                <w:spacing w:val="-3"/>
                <w:lang w:eastAsia="zh-CN"/>
              </w:rPr>
              <w:t>3.10</w:t>
            </w:r>
          </w:p>
        </w:tc>
        <w:tc>
          <w:tcPr>
            <w:tcW w:w="1659" w:type="dxa"/>
          </w:tcPr>
          <w:p w14:paraId="774A4546">
            <w:pPr>
              <w:pStyle w:val="21"/>
              <w:spacing w:before="88" w:line="241" w:lineRule="auto"/>
              <w:ind w:left="716" w:right="108" w:hanging="601"/>
              <w:rPr>
                <w:rFonts w:hint="eastAsia"/>
              </w:rPr>
            </w:pPr>
            <w:r>
              <w:rPr>
                <w:spacing w:val="-2"/>
              </w:rPr>
              <w:t>签字或盖章要</w:t>
            </w:r>
            <w:r>
              <w:rPr>
                <w:spacing w:val="1"/>
              </w:rPr>
              <w:t xml:space="preserve"> </w:t>
            </w:r>
            <w:r>
              <w:t>求</w:t>
            </w:r>
          </w:p>
        </w:tc>
        <w:tc>
          <w:tcPr>
            <w:tcW w:w="7152" w:type="dxa"/>
          </w:tcPr>
          <w:p w14:paraId="77507E4B">
            <w:pPr>
              <w:pStyle w:val="21"/>
              <w:spacing w:before="91"/>
              <w:ind w:left="122" w:right="46" w:firstLine="4"/>
              <w:rPr>
                <w:rFonts w:hint="eastAsia"/>
                <w:lang w:eastAsia="zh-CN"/>
              </w:rPr>
            </w:pPr>
            <w:r>
              <w:rPr>
                <w:spacing w:val="-9"/>
                <w:lang w:eastAsia="zh-CN"/>
              </w:rPr>
              <w:t>响应文件应按第</w:t>
            </w:r>
            <w:r>
              <w:rPr>
                <w:rFonts w:hint="eastAsia"/>
                <w:spacing w:val="-9"/>
                <w:lang w:eastAsia="zh-CN"/>
              </w:rPr>
              <w:t>五</w:t>
            </w:r>
            <w:r>
              <w:rPr>
                <w:spacing w:val="-9"/>
                <w:lang w:eastAsia="zh-CN"/>
              </w:rPr>
              <w:t>章“响应文件格式及内容</w:t>
            </w:r>
            <w:r>
              <w:rPr>
                <w:spacing w:val="-78"/>
                <w:lang w:eastAsia="zh-CN"/>
              </w:rPr>
              <w:t xml:space="preserve"> </w:t>
            </w:r>
            <w:r>
              <w:rPr>
                <w:spacing w:val="-9"/>
                <w:lang w:eastAsia="zh-CN"/>
              </w:rPr>
              <w:t>”要求进行签字或盖章，</w:t>
            </w:r>
            <w:r>
              <w:rPr>
                <w:lang w:eastAsia="zh-CN"/>
              </w:rPr>
              <w:t xml:space="preserve"> </w:t>
            </w:r>
            <w:r>
              <w:rPr>
                <w:spacing w:val="-2"/>
                <w:lang w:eastAsia="zh-CN"/>
              </w:rPr>
              <w:t>否则其响应文件按照无效处理。</w:t>
            </w:r>
          </w:p>
        </w:tc>
      </w:tr>
      <w:tr w14:paraId="72A32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962" w:type="dxa"/>
          </w:tcPr>
          <w:p w14:paraId="2A4CD7DA">
            <w:pPr>
              <w:pStyle w:val="21"/>
              <w:spacing w:before="264" w:line="183" w:lineRule="auto"/>
              <w:ind w:left="193"/>
              <w:rPr>
                <w:rFonts w:hint="eastAsia"/>
                <w:lang w:eastAsia="zh-CN"/>
              </w:rPr>
            </w:pPr>
            <w:r>
              <w:rPr>
                <w:rFonts w:hint="eastAsia"/>
                <w:spacing w:val="-3"/>
                <w:lang w:eastAsia="zh-CN"/>
              </w:rPr>
              <w:t>3.11</w:t>
            </w:r>
          </w:p>
        </w:tc>
        <w:tc>
          <w:tcPr>
            <w:tcW w:w="1659" w:type="dxa"/>
          </w:tcPr>
          <w:p w14:paraId="61019252">
            <w:pPr>
              <w:pStyle w:val="21"/>
              <w:spacing w:before="248" w:line="219" w:lineRule="auto"/>
              <w:ind w:left="367"/>
              <w:rPr>
                <w:rFonts w:hint="eastAsia"/>
              </w:rPr>
            </w:pPr>
            <w:r>
              <w:rPr>
                <w:spacing w:val="-6"/>
              </w:rPr>
              <w:t>响应文件</w:t>
            </w:r>
          </w:p>
        </w:tc>
        <w:tc>
          <w:tcPr>
            <w:tcW w:w="7152" w:type="dxa"/>
          </w:tcPr>
          <w:p w14:paraId="1457429C">
            <w:pPr>
              <w:pStyle w:val="21"/>
              <w:spacing w:before="71" w:line="233" w:lineRule="auto"/>
              <w:ind w:left="111" w:right="2062" w:firstLine="4"/>
              <w:rPr>
                <w:rFonts w:hint="eastAsia"/>
                <w:lang w:eastAsia="zh-CN"/>
              </w:rPr>
            </w:pPr>
            <w:r>
              <w:rPr>
                <w:spacing w:val="-4"/>
                <w:lang w:eastAsia="zh-CN"/>
              </w:rPr>
              <w:t>上传至济钢集团有限公司阳光购销平台（网址：</w:t>
            </w:r>
            <w:r>
              <w:rPr>
                <w:spacing w:val="11"/>
                <w:lang w:eastAsia="zh-CN"/>
              </w:rPr>
              <w:t xml:space="preserve"> </w:t>
            </w:r>
            <w:r>
              <w:fldChar w:fldCharType="begin"/>
            </w:r>
            <w:r>
              <w:instrText xml:space="preserve"> HYPERLINK "http://bidding.jigang.com.cn" </w:instrText>
            </w:r>
            <w:r>
              <w:fldChar w:fldCharType="separate"/>
            </w:r>
            <w:r>
              <w:rPr>
                <w:lang w:eastAsia="zh-CN"/>
              </w:rPr>
              <w:t>http://bidding.jigang.</w:t>
            </w:r>
            <w:r>
              <w:rPr>
                <w:spacing w:val="-1"/>
                <w:lang w:eastAsia="zh-CN"/>
              </w:rPr>
              <w:t>com.cn</w:t>
            </w:r>
            <w:r>
              <w:rPr>
                <w:spacing w:val="-1"/>
                <w:lang w:eastAsia="zh-CN"/>
              </w:rPr>
              <w:fldChar w:fldCharType="end"/>
            </w:r>
            <w:r>
              <w:rPr>
                <w:spacing w:val="-1"/>
                <w:lang w:eastAsia="zh-CN"/>
              </w:rPr>
              <w:t>/）</w:t>
            </w:r>
          </w:p>
        </w:tc>
      </w:tr>
    </w:tbl>
    <w:p w14:paraId="781A0EAB">
      <w:pPr>
        <w:pStyle w:val="11"/>
        <w:rPr>
          <w:lang w:eastAsia="zh-CN"/>
        </w:rPr>
      </w:pPr>
    </w:p>
    <w:p w14:paraId="1AB1A099">
      <w:pPr>
        <w:rPr>
          <w:lang w:eastAsia="zh-CN"/>
        </w:rPr>
        <w:sectPr>
          <w:footerReference r:id="rId6" w:type="default"/>
          <w:pgSz w:w="11906" w:h="16839"/>
          <w:pgMar w:top="1418" w:right="1064" w:bottom="1153" w:left="1063" w:header="0" w:footer="994" w:gutter="0"/>
          <w:cols w:space="720" w:num="1"/>
        </w:sectPr>
      </w:pPr>
    </w:p>
    <w:tbl>
      <w:tblPr>
        <w:tblStyle w:val="20"/>
        <w:tblW w:w="97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1659"/>
        <w:gridCol w:w="7158"/>
      </w:tblGrid>
      <w:tr w14:paraId="5190D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9" w:hRule="atLeast"/>
        </w:trPr>
        <w:tc>
          <w:tcPr>
            <w:tcW w:w="962" w:type="dxa"/>
          </w:tcPr>
          <w:p w14:paraId="2B6AC568">
            <w:pPr>
              <w:spacing w:line="286" w:lineRule="auto"/>
              <w:rPr>
                <w:lang w:eastAsia="zh-CN"/>
              </w:rPr>
            </w:pPr>
          </w:p>
          <w:p w14:paraId="3A23E69F">
            <w:pPr>
              <w:spacing w:line="287" w:lineRule="auto"/>
              <w:rPr>
                <w:lang w:eastAsia="zh-CN"/>
              </w:rPr>
            </w:pPr>
          </w:p>
          <w:p w14:paraId="0E533250">
            <w:pPr>
              <w:spacing w:line="287" w:lineRule="auto"/>
              <w:rPr>
                <w:lang w:eastAsia="zh-CN"/>
              </w:rPr>
            </w:pPr>
          </w:p>
          <w:p w14:paraId="28BDE4A8">
            <w:pPr>
              <w:pStyle w:val="21"/>
              <w:spacing w:before="78" w:line="183" w:lineRule="auto"/>
              <w:ind w:left="193"/>
              <w:rPr>
                <w:rFonts w:hint="eastAsia"/>
                <w:lang w:eastAsia="zh-CN"/>
              </w:rPr>
            </w:pPr>
            <w:r>
              <w:rPr>
                <w:rFonts w:hint="eastAsia"/>
                <w:spacing w:val="-3"/>
                <w:lang w:eastAsia="zh-CN"/>
              </w:rPr>
              <w:t>3.12</w:t>
            </w:r>
          </w:p>
        </w:tc>
        <w:tc>
          <w:tcPr>
            <w:tcW w:w="1659" w:type="dxa"/>
            <w:vAlign w:val="center"/>
          </w:tcPr>
          <w:p w14:paraId="17F9C059">
            <w:pPr>
              <w:spacing w:line="360" w:lineRule="exact"/>
              <w:ind w:left="135" w:leftChars="-50" w:right="-105" w:rightChars="-50" w:hanging="240" w:hangingChars="100"/>
              <w:jc w:val="center"/>
              <w:rPr>
                <w:lang w:eastAsia="zh-CN"/>
              </w:rPr>
            </w:pPr>
            <w:r>
              <w:rPr>
                <w:sz w:val="24"/>
                <w:lang w:eastAsia="zh-CN"/>
              </w:rPr>
              <w:t>纸质</w:t>
            </w:r>
            <w:r>
              <w:rPr>
                <w:rFonts w:hint="eastAsia" w:eastAsia="宋体"/>
                <w:sz w:val="24"/>
                <w:lang w:eastAsia="zh-CN"/>
              </w:rPr>
              <w:t>响应</w:t>
            </w:r>
            <w:r>
              <w:rPr>
                <w:sz w:val="24"/>
                <w:lang w:eastAsia="zh-CN"/>
              </w:rPr>
              <w:t>文件装订要求（</w:t>
            </w:r>
            <w:r>
              <w:rPr>
                <w:rFonts w:hint="eastAsia" w:eastAsia="宋体"/>
                <w:sz w:val="24"/>
                <w:lang w:eastAsia="zh-CN"/>
              </w:rPr>
              <w:t>成交</w:t>
            </w:r>
            <w:r>
              <w:rPr>
                <w:sz w:val="24"/>
                <w:lang w:eastAsia="zh-CN"/>
              </w:rPr>
              <w:t>单位提供纸质版</w:t>
            </w:r>
            <w:r>
              <w:rPr>
                <w:rFonts w:hint="eastAsia" w:eastAsia="宋体"/>
                <w:sz w:val="24"/>
                <w:lang w:eastAsia="zh-CN"/>
              </w:rPr>
              <w:t>响应</w:t>
            </w:r>
            <w:r>
              <w:rPr>
                <w:sz w:val="24"/>
                <w:lang w:eastAsia="zh-CN"/>
              </w:rPr>
              <w:t>文件）</w:t>
            </w:r>
          </w:p>
        </w:tc>
        <w:tc>
          <w:tcPr>
            <w:tcW w:w="7158" w:type="dxa"/>
            <w:vAlign w:val="center"/>
          </w:tcPr>
          <w:p w14:paraId="6354DC77">
            <w:pPr>
              <w:spacing w:line="340" w:lineRule="exact"/>
              <w:rPr>
                <w:sz w:val="24"/>
                <w:lang w:eastAsia="zh-CN"/>
              </w:rPr>
            </w:pPr>
            <w:r>
              <w:rPr>
                <w:sz w:val="24"/>
                <w:lang w:eastAsia="zh-CN"/>
              </w:rPr>
              <w:t>1、</w:t>
            </w:r>
            <w:r>
              <w:rPr>
                <w:rFonts w:hint="eastAsia" w:eastAsia="宋体"/>
                <w:sz w:val="24"/>
                <w:lang w:eastAsia="zh-CN"/>
              </w:rPr>
              <w:t>响应</w:t>
            </w:r>
            <w:r>
              <w:rPr>
                <w:sz w:val="24"/>
                <w:lang w:eastAsia="zh-CN"/>
              </w:rPr>
              <w:t>文件的正本与副本应分别装订成册。</w:t>
            </w:r>
          </w:p>
          <w:p w14:paraId="499A9BAB">
            <w:pPr>
              <w:spacing w:line="340" w:lineRule="exact"/>
              <w:rPr>
                <w:sz w:val="24"/>
                <w:lang w:eastAsia="zh-CN"/>
              </w:rPr>
            </w:pPr>
            <w:r>
              <w:rPr>
                <w:sz w:val="24"/>
                <w:lang w:eastAsia="zh-CN"/>
              </w:rPr>
              <w:t>2、</w:t>
            </w:r>
            <w:r>
              <w:rPr>
                <w:rFonts w:hint="eastAsia" w:eastAsia="宋体"/>
                <w:sz w:val="24"/>
                <w:lang w:eastAsia="zh-CN"/>
              </w:rPr>
              <w:t>响应</w:t>
            </w:r>
            <w:r>
              <w:rPr>
                <w:sz w:val="24"/>
                <w:lang w:eastAsia="zh-CN"/>
              </w:rPr>
              <w:t>文件每册均须采用胶装方式在左侧装订，装订须牢固不易拆散和换页，不得采用活页方式装订。</w:t>
            </w:r>
          </w:p>
          <w:p w14:paraId="4B52D22D">
            <w:pPr>
              <w:spacing w:line="360" w:lineRule="exact"/>
              <w:ind w:right="-105" w:rightChars="-50"/>
              <w:rPr>
                <w:sz w:val="24"/>
                <w:lang w:eastAsia="zh-CN"/>
              </w:rPr>
            </w:pPr>
            <w:r>
              <w:rPr>
                <w:sz w:val="24"/>
                <w:lang w:eastAsia="zh-CN"/>
              </w:rPr>
              <w:t>3、</w:t>
            </w:r>
            <w:r>
              <w:rPr>
                <w:rFonts w:hint="eastAsia" w:eastAsia="宋体"/>
                <w:sz w:val="24"/>
                <w:lang w:eastAsia="zh-CN"/>
              </w:rPr>
              <w:t>响应</w:t>
            </w:r>
            <w:r>
              <w:rPr>
                <w:sz w:val="24"/>
                <w:lang w:eastAsia="zh-CN"/>
              </w:rPr>
              <w:t>文件正本和副本的封面上应清楚地标记“正本”或“副本”的字样；正本和副本如有不一致之处，以正本为准。</w:t>
            </w:r>
          </w:p>
          <w:p w14:paraId="4355E722">
            <w:pPr>
              <w:spacing w:line="360" w:lineRule="exact"/>
              <w:ind w:right="-105" w:rightChars="-50"/>
              <w:rPr>
                <w:lang w:eastAsia="zh-CN"/>
              </w:rPr>
            </w:pPr>
            <w:r>
              <w:rPr>
                <w:sz w:val="24"/>
                <w:lang w:eastAsia="zh-CN"/>
              </w:rPr>
              <w:t>4、</w:t>
            </w:r>
            <w:r>
              <w:rPr>
                <w:rFonts w:hint="eastAsia"/>
                <w:sz w:val="24"/>
                <w:lang w:eastAsia="zh-CN"/>
              </w:rPr>
              <w:t>供应商</w:t>
            </w:r>
            <w:r>
              <w:rPr>
                <w:sz w:val="24"/>
                <w:lang w:eastAsia="zh-CN"/>
              </w:rPr>
              <w:t>收到</w:t>
            </w:r>
            <w:r>
              <w:rPr>
                <w:rFonts w:hint="eastAsia" w:eastAsia="宋体"/>
                <w:sz w:val="24"/>
                <w:lang w:eastAsia="zh-CN"/>
              </w:rPr>
              <w:t>成交</w:t>
            </w:r>
            <w:r>
              <w:rPr>
                <w:sz w:val="24"/>
                <w:lang w:eastAsia="zh-CN"/>
              </w:rPr>
              <w:t>通知书后3日内，需将纸质</w:t>
            </w:r>
            <w:r>
              <w:rPr>
                <w:rFonts w:hint="eastAsia" w:eastAsia="宋体"/>
                <w:sz w:val="24"/>
                <w:lang w:eastAsia="zh-CN"/>
              </w:rPr>
              <w:t>响应</w:t>
            </w:r>
            <w:r>
              <w:rPr>
                <w:sz w:val="24"/>
                <w:lang w:eastAsia="zh-CN"/>
              </w:rPr>
              <w:t>文件邮寄到山东省济南市官庄街道青野村东，山东济钢环保新材料有限公司，收件人：</w:t>
            </w:r>
            <w:r>
              <w:rPr>
                <w:rFonts w:hint="eastAsia"/>
                <w:sz w:val="24"/>
                <w:lang w:eastAsia="zh-CN"/>
              </w:rPr>
              <w:t>于工，</w:t>
            </w:r>
            <w:r>
              <w:rPr>
                <w:rFonts w:hint="eastAsia" w:ascii="宋体" w:hAnsi="宋体" w:eastAsia="宋体" w:cs="宋体"/>
                <w:color w:val="auto"/>
                <w:spacing w:val="-9"/>
                <w:sz w:val="24"/>
                <w:szCs w:val="24"/>
                <w:lang w:eastAsia="zh-CN"/>
              </w:rPr>
              <w:t>联系电话：17860611790</w:t>
            </w:r>
          </w:p>
        </w:tc>
      </w:tr>
      <w:tr w14:paraId="5CF6D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2" w:type="dxa"/>
          </w:tcPr>
          <w:p w14:paraId="3C37E158">
            <w:pPr>
              <w:pStyle w:val="21"/>
              <w:spacing w:before="99" w:line="183" w:lineRule="auto"/>
              <w:ind w:left="193"/>
              <w:rPr>
                <w:rFonts w:hint="eastAsia"/>
                <w:lang w:eastAsia="zh-CN"/>
              </w:rPr>
            </w:pPr>
            <w:r>
              <w:rPr>
                <w:rFonts w:hint="eastAsia"/>
                <w:spacing w:val="-3"/>
                <w:lang w:eastAsia="zh-CN"/>
              </w:rPr>
              <w:t>3.13</w:t>
            </w:r>
          </w:p>
        </w:tc>
        <w:tc>
          <w:tcPr>
            <w:tcW w:w="1659" w:type="dxa"/>
          </w:tcPr>
          <w:p w14:paraId="46CCD3EC">
            <w:pPr>
              <w:pStyle w:val="21"/>
              <w:spacing w:before="83" w:line="209" w:lineRule="auto"/>
              <w:ind w:left="383"/>
              <w:rPr>
                <w:rFonts w:hint="eastAsia"/>
              </w:rPr>
            </w:pPr>
            <w:r>
              <w:rPr>
                <w:spacing w:val="-10"/>
              </w:rPr>
              <w:t>电子文档</w:t>
            </w:r>
          </w:p>
        </w:tc>
        <w:tc>
          <w:tcPr>
            <w:tcW w:w="7158" w:type="dxa"/>
          </w:tcPr>
          <w:p w14:paraId="3AEACE3D">
            <w:pPr>
              <w:pStyle w:val="21"/>
              <w:spacing w:before="78" w:line="213" w:lineRule="auto"/>
              <w:ind w:left="117"/>
              <w:rPr>
                <w:rFonts w:hint="eastAsia"/>
                <w:lang w:eastAsia="zh-CN"/>
              </w:rPr>
            </w:pPr>
            <w:r>
              <w:rPr>
                <w:spacing w:val="-3"/>
                <w:lang w:eastAsia="zh-CN"/>
              </w:rPr>
              <w:t>详见谈判须知正文</w:t>
            </w:r>
            <w:r>
              <w:rPr>
                <w:spacing w:val="-40"/>
                <w:lang w:eastAsia="zh-CN"/>
              </w:rPr>
              <w:t xml:space="preserve"> </w:t>
            </w:r>
            <w:r>
              <w:rPr>
                <w:spacing w:val="-3"/>
                <w:lang w:eastAsia="zh-CN"/>
              </w:rPr>
              <w:t>3.7.6</w:t>
            </w:r>
            <w:r>
              <w:rPr>
                <w:spacing w:val="-49"/>
                <w:lang w:eastAsia="zh-CN"/>
              </w:rPr>
              <w:t xml:space="preserve"> </w:t>
            </w:r>
            <w:r>
              <w:rPr>
                <w:spacing w:val="-3"/>
                <w:lang w:eastAsia="zh-CN"/>
              </w:rPr>
              <w:t>条款</w:t>
            </w:r>
          </w:p>
        </w:tc>
      </w:tr>
      <w:tr w14:paraId="5814F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2" w:type="dxa"/>
          </w:tcPr>
          <w:p w14:paraId="0546A922">
            <w:pPr>
              <w:pStyle w:val="21"/>
              <w:spacing w:before="278" w:line="184" w:lineRule="auto"/>
              <w:ind w:left="308"/>
              <w:rPr>
                <w:rFonts w:hint="eastAsia"/>
              </w:rPr>
            </w:pPr>
            <w:r>
              <w:rPr>
                <w:spacing w:val="-3"/>
              </w:rPr>
              <w:t>4</w:t>
            </w:r>
          </w:p>
        </w:tc>
        <w:tc>
          <w:tcPr>
            <w:tcW w:w="1659" w:type="dxa"/>
          </w:tcPr>
          <w:p w14:paraId="02D32046">
            <w:pPr>
              <w:pStyle w:val="21"/>
              <w:spacing w:before="83" w:line="243" w:lineRule="auto"/>
              <w:ind w:left="254" w:right="108" w:hanging="137"/>
              <w:rPr>
                <w:rFonts w:hint="eastAsia"/>
                <w:lang w:eastAsia="zh-CN"/>
              </w:rPr>
            </w:pPr>
            <w:r>
              <w:rPr>
                <w:spacing w:val="-2"/>
                <w:lang w:eastAsia="zh-CN"/>
              </w:rPr>
              <w:t>上传响应文件</w:t>
            </w:r>
            <w:r>
              <w:rPr>
                <w:lang w:eastAsia="zh-CN"/>
              </w:rPr>
              <w:t xml:space="preserve"> </w:t>
            </w:r>
            <w:r>
              <w:rPr>
                <w:spacing w:val="-6"/>
                <w:lang w:eastAsia="zh-CN"/>
              </w:rPr>
              <w:t>的截止时间</w:t>
            </w:r>
          </w:p>
        </w:tc>
        <w:tc>
          <w:tcPr>
            <w:tcW w:w="7158" w:type="dxa"/>
          </w:tcPr>
          <w:p w14:paraId="7889C344">
            <w:pPr>
              <w:pStyle w:val="21"/>
              <w:spacing w:before="258" w:line="219" w:lineRule="auto"/>
              <w:ind w:left="117" w:firstLine="666" w:firstLineChars="300"/>
              <w:rPr>
                <w:rFonts w:hint="default" w:eastAsia="宋体"/>
                <w:color w:val="auto"/>
                <w:lang w:val="en-US" w:eastAsia="zh-CN"/>
              </w:rPr>
            </w:pPr>
            <w:r>
              <w:rPr>
                <w:rFonts w:hint="eastAsia"/>
                <w:color w:val="auto"/>
                <w:spacing w:val="-9"/>
                <w:lang w:val="en-US" w:eastAsia="zh-CN"/>
              </w:rPr>
              <w:t>2026</w:t>
            </w:r>
            <w:r>
              <w:rPr>
                <w:color w:val="auto"/>
                <w:spacing w:val="-9"/>
              </w:rPr>
              <w:t>年</w:t>
            </w:r>
            <w:r>
              <w:rPr>
                <w:rFonts w:hint="eastAsia"/>
                <w:color w:val="auto"/>
                <w:spacing w:val="-9"/>
                <w:lang w:val="en-US" w:eastAsia="zh-CN"/>
              </w:rPr>
              <w:t>9</w:t>
            </w:r>
            <w:r>
              <w:rPr>
                <w:color w:val="auto"/>
                <w:spacing w:val="-9"/>
              </w:rPr>
              <w:t>月</w:t>
            </w:r>
            <w:r>
              <w:rPr>
                <w:rFonts w:hint="eastAsia"/>
                <w:color w:val="auto"/>
                <w:spacing w:val="-9"/>
                <w:lang w:val="en-US" w:eastAsia="zh-CN"/>
              </w:rPr>
              <w:t>29</w:t>
            </w:r>
            <w:r>
              <w:rPr>
                <w:color w:val="auto"/>
                <w:spacing w:val="-9"/>
              </w:rPr>
              <w:t>日</w:t>
            </w:r>
            <w:r>
              <w:rPr>
                <w:rFonts w:hint="eastAsia"/>
                <w:color w:val="auto"/>
                <w:spacing w:val="-9"/>
                <w:lang w:eastAsia="zh-CN"/>
              </w:rPr>
              <w:t>上午</w:t>
            </w:r>
            <w:r>
              <w:rPr>
                <w:rFonts w:hint="eastAsia"/>
                <w:color w:val="auto"/>
                <w:spacing w:val="-9"/>
                <w:lang w:val="en-US" w:eastAsia="zh-CN"/>
              </w:rPr>
              <w:t>8</w:t>
            </w:r>
            <w:r>
              <w:rPr>
                <w:rFonts w:hint="eastAsia"/>
                <w:color w:val="auto"/>
                <w:spacing w:val="-9"/>
                <w:lang w:eastAsia="zh-CN"/>
              </w:rPr>
              <w:t xml:space="preserve"> </w:t>
            </w:r>
            <w:r>
              <w:rPr>
                <w:color w:val="auto"/>
                <w:spacing w:val="-9"/>
              </w:rPr>
              <w:t>点</w:t>
            </w:r>
            <w:r>
              <w:rPr>
                <w:rFonts w:hint="eastAsia"/>
                <w:color w:val="auto"/>
                <w:spacing w:val="-9"/>
                <w:lang w:val="en-US" w:eastAsia="zh-CN"/>
              </w:rPr>
              <w:t>30分</w:t>
            </w:r>
          </w:p>
        </w:tc>
      </w:tr>
      <w:tr w14:paraId="4C4F7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2" w:type="dxa"/>
          </w:tcPr>
          <w:p w14:paraId="384DAA02">
            <w:pPr>
              <w:pStyle w:val="21"/>
              <w:spacing w:before="277" w:line="184" w:lineRule="auto"/>
              <w:ind w:left="313"/>
              <w:rPr>
                <w:rFonts w:hint="eastAsia"/>
              </w:rPr>
            </w:pPr>
            <w:r>
              <w:rPr>
                <w:spacing w:val="-5"/>
              </w:rPr>
              <w:t>5</w:t>
            </w:r>
          </w:p>
        </w:tc>
        <w:tc>
          <w:tcPr>
            <w:tcW w:w="1659" w:type="dxa"/>
          </w:tcPr>
          <w:p w14:paraId="167FE366">
            <w:pPr>
              <w:pStyle w:val="21"/>
              <w:spacing w:before="83" w:line="243" w:lineRule="auto"/>
              <w:ind w:left="595" w:right="228" w:hanging="361"/>
              <w:rPr>
                <w:rFonts w:hint="eastAsia"/>
              </w:rPr>
            </w:pPr>
            <w:r>
              <w:rPr>
                <w:spacing w:val="-2"/>
              </w:rPr>
              <w:t>谈判时间和</w:t>
            </w:r>
            <w:r>
              <w:t xml:space="preserve"> </w:t>
            </w:r>
            <w:r>
              <w:rPr>
                <w:spacing w:val="-6"/>
              </w:rPr>
              <w:t>方式</w:t>
            </w:r>
          </w:p>
        </w:tc>
        <w:tc>
          <w:tcPr>
            <w:tcW w:w="7158" w:type="dxa"/>
          </w:tcPr>
          <w:p w14:paraId="43437D45">
            <w:pPr>
              <w:pStyle w:val="21"/>
              <w:spacing w:before="87" w:line="219" w:lineRule="auto"/>
              <w:ind w:left="113"/>
              <w:rPr>
                <w:rFonts w:hint="eastAsia"/>
                <w:color w:val="auto"/>
                <w:lang w:eastAsia="zh-CN"/>
              </w:rPr>
            </w:pPr>
            <w:r>
              <w:rPr>
                <w:color w:val="auto"/>
                <w:spacing w:val="-9"/>
                <w:lang w:eastAsia="zh-CN"/>
              </w:rPr>
              <w:t>谈判时间：</w:t>
            </w:r>
            <w:r>
              <w:rPr>
                <w:rFonts w:hint="eastAsia"/>
                <w:color w:val="auto"/>
                <w:spacing w:val="-9"/>
                <w:lang w:eastAsia="zh-CN"/>
              </w:rPr>
              <w:t>2026年9月29日上午8 点30分</w:t>
            </w:r>
          </w:p>
          <w:p w14:paraId="0F29A945">
            <w:pPr>
              <w:pStyle w:val="21"/>
              <w:spacing w:before="55" w:line="219" w:lineRule="auto"/>
              <w:ind w:left="113"/>
              <w:rPr>
                <w:rFonts w:hint="eastAsia"/>
                <w:color w:val="auto"/>
                <w:lang w:eastAsia="zh-CN"/>
              </w:rPr>
            </w:pPr>
            <w:r>
              <w:rPr>
                <w:color w:val="auto"/>
                <w:spacing w:val="-1"/>
                <w:lang w:eastAsia="zh-CN"/>
              </w:rPr>
              <w:t>谈判方式：网上谈判，谈判时无需供应商到达现场。</w:t>
            </w:r>
          </w:p>
        </w:tc>
      </w:tr>
      <w:tr w14:paraId="71796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62" w:type="dxa"/>
          </w:tcPr>
          <w:p w14:paraId="1E99779E">
            <w:pPr>
              <w:pStyle w:val="21"/>
              <w:spacing w:before="98" w:line="183" w:lineRule="auto"/>
              <w:ind w:left="311"/>
              <w:rPr>
                <w:rFonts w:hint="eastAsia"/>
                <w:lang w:eastAsia="zh-CN"/>
              </w:rPr>
            </w:pPr>
            <w:r>
              <w:rPr>
                <w:rFonts w:hint="eastAsia"/>
                <w:spacing w:val="-4"/>
                <w:lang w:eastAsia="zh-CN"/>
              </w:rPr>
              <w:t>6</w:t>
            </w:r>
          </w:p>
        </w:tc>
        <w:tc>
          <w:tcPr>
            <w:tcW w:w="1659" w:type="dxa"/>
          </w:tcPr>
          <w:p w14:paraId="008EB6B4">
            <w:pPr>
              <w:pStyle w:val="21"/>
              <w:spacing w:before="84" w:line="208" w:lineRule="auto"/>
              <w:ind w:left="354"/>
              <w:rPr>
                <w:rFonts w:hint="eastAsia"/>
              </w:rPr>
            </w:pPr>
            <w:r>
              <w:rPr>
                <w:spacing w:val="-3"/>
              </w:rPr>
              <w:t>评审方法</w:t>
            </w:r>
          </w:p>
        </w:tc>
        <w:tc>
          <w:tcPr>
            <w:tcW w:w="7158" w:type="dxa"/>
          </w:tcPr>
          <w:p w14:paraId="7E03C3BF">
            <w:pPr>
              <w:pStyle w:val="21"/>
              <w:spacing w:before="76" w:line="214" w:lineRule="auto"/>
              <w:ind w:left="117"/>
              <w:rPr>
                <w:rFonts w:hint="eastAsia"/>
              </w:rPr>
            </w:pPr>
            <w:r>
              <w:rPr>
                <w:rFonts w:hint="eastAsia"/>
                <w:spacing w:val="-3"/>
                <w:lang w:eastAsia="zh-CN"/>
              </w:rPr>
              <w:t>资格审查+综合评审</w:t>
            </w:r>
            <w:r>
              <w:rPr>
                <w:spacing w:val="-3"/>
              </w:rPr>
              <w:t>法</w:t>
            </w:r>
          </w:p>
        </w:tc>
      </w:tr>
      <w:tr w14:paraId="2045F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62" w:type="dxa"/>
          </w:tcPr>
          <w:p w14:paraId="59157B2E">
            <w:pPr>
              <w:pStyle w:val="21"/>
              <w:spacing w:before="78" w:line="183" w:lineRule="auto"/>
              <w:jc w:val="center"/>
              <w:rPr>
                <w:rFonts w:hint="eastAsia"/>
                <w:lang w:eastAsia="zh-CN"/>
              </w:rPr>
            </w:pPr>
            <w:r>
              <w:rPr>
                <w:spacing w:val="-6"/>
              </w:rPr>
              <w:t>7</w:t>
            </w:r>
            <w:r>
              <w:rPr>
                <w:rFonts w:hint="eastAsia"/>
                <w:spacing w:val="-6"/>
                <w:lang w:eastAsia="zh-CN"/>
              </w:rPr>
              <w:t>.1</w:t>
            </w:r>
          </w:p>
        </w:tc>
        <w:tc>
          <w:tcPr>
            <w:tcW w:w="1659" w:type="dxa"/>
          </w:tcPr>
          <w:p w14:paraId="28236AB4">
            <w:pPr>
              <w:pStyle w:val="21"/>
              <w:spacing w:before="78" w:line="220" w:lineRule="auto"/>
              <w:jc w:val="center"/>
              <w:rPr>
                <w:rFonts w:hint="eastAsia"/>
              </w:rPr>
            </w:pPr>
            <w:r>
              <w:rPr>
                <w:spacing w:val="-3"/>
              </w:rPr>
              <w:t>履约保证金</w:t>
            </w:r>
          </w:p>
        </w:tc>
        <w:tc>
          <w:tcPr>
            <w:tcW w:w="7158" w:type="dxa"/>
          </w:tcPr>
          <w:p w14:paraId="71C150CE">
            <w:pPr>
              <w:pStyle w:val="21"/>
              <w:spacing w:before="54" w:line="243" w:lineRule="auto"/>
              <w:ind w:left="113" w:right="114" w:firstLine="1"/>
              <w:rPr>
                <w:rFonts w:hint="eastAsia"/>
                <w:lang w:eastAsia="zh-CN"/>
              </w:rPr>
            </w:pPr>
            <w:r>
              <w:rPr>
                <w:rFonts w:hint="eastAsia"/>
                <w:spacing w:val="1"/>
                <w:lang w:eastAsia="zh-CN"/>
              </w:rPr>
              <w:t>无</w:t>
            </w:r>
          </w:p>
        </w:tc>
      </w:tr>
      <w:tr w14:paraId="64C41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962" w:type="dxa"/>
          </w:tcPr>
          <w:p w14:paraId="36579FBA">
            <w:pPr>
              <w:pStyle w:val="21"/>
              <w:spacing w:before="78" w:line="220" w:lineRule="auto"/>
              <w:jc w:val="center"/>
              <w:rPr>
                <w:rFonts w:hint="eastAsia"/>
                <w:spacing w:val="-3"/>
                <w:lang w:eastAsia="zh-CN"/>
              </w:rPr>
            </w:pPr>
            <w:r>
              <w:rPr>
                <w:spacing w:val="-3"/>
              </w:rPr>
              <w:t>7.</w:t>
            </w:r>
            <w:r>
              <w:rPr>
                <w:rFonts w:hint="eastAsia"/>
                <w:spacing w:val="-3"/>
                <w:lang w:eastAsia="zh-CN"/>
              </w:rPr>
              <w:t>2</w:t>
            </w:r>
          </w:p>
        </w:tc>
        <w:tc>
          <w:tcPr>
            <w:tcW w:w="1659" w:type="dxa"/>
          </w:tcPr>
          <w:p w14:paraId="5A9761A9">
            <w:pPr>
              <w:pStyle w:val="21"/>
              <w:spacing w:before="78" w:line="220" w:lineRule="auto"/>
              <w:jc w:val="center"/>
              <w:rPr>
                <w:rFonts w:hint="eastAsia"/>
                <w:spacing w:val="-3"/>
              </w:rPr>
            </w:pPr>
            <w:r>
              <w:rPr>
                <w:spacing w:val="-3"/>
              </w:rPr>
              <w:t>安全风险抵押金</w:t>
            </w:r>
          </w:p>
        </w:tc>
        <w:tc>
          <w:tcPr>
            <w:tcW w:w="7158" w:type="dxa"/>
          </w:tcPr>
          <w:p w14:paraId="7C8A67FB">
            <w:pPr>
              <w:pStyle w:val="21"/>
              <w:spacing w:before="103" w:line="268" w:lineRule="auto"/>
              <w:ind w:left="119" w:right="114" w:hanging="4"/>
              <w:rPr>
                <w:rFonts w:hint="eastAsia"/>
                <w:lang w:eastAsia="zh-CN"/>
              </w:rPr>
            </w:pPr>
            <w:r>
              <w:rPr>
                <w:rFonts w:hint="eastAsia"/>
                <w:lang w:eastAsia="zh-CN"/>
              </w:rPr>
              <w:t>无</w:t>
            </w:r>
          </w:p>
        </w:tc>
      </w:tr>
      <w:tr w14:paraId="647A6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962" w:type="dxa"/>
          </w:tcPr>
          <w:p w14:paraId="3CB9F09D">
            <w:pPr>
              <w:pStyle w:val="21"/>
              <w:spacing w:before="78" w:line="184" w:lineRule="auto"/>
              <w:ind w:left="310"/>
              <w:rPr>
                <w:rFonts w:hint="eastAsia"/>
                <w:lang w:eastAsia="zh-CN"/>
              </w:rPr>
            </w:pPr>
            <w:r>
              <w:rPr>
                <w:rFonts w:hint="eastAsia"/>
                <w:spacing w:val="-4"/>
                <w:lang w:eastAsia="zh-CN"/>
              </w:rPr>
              <w:t>8</w:t>
            </w:r>
          </w:p>
        </w:tc>
        <w:tc>
          <w:tcPr>
            <w:tcW w:w="1659" w:type="dxa"/>
          </w:tcPr>
          <w:p w14:paraId="4450875C">
            <w:pPr>
              <w:spacing w:line="336" w:lineRule="auto"/>
            </w:pPr>
          </w:p>
          <w:p w14:paraId="6065A378">
            <w:pPr>
              <w:spacing w:line="336" w:lineRule="auto"/>
            </w:pPr>
          </w:p>
          <w:p w14:paraId="363D24A3">
            <w:pPr>
              <w:pStyle w:val="21"/>
              <w:spacing w:before="78" w:line="220" w:lineRule="auto"/>
              <w:ind w:left="356"/>
              <w:rPr>
                <w:rFonts w:hint="eastAsia"/>
              </w:rPr>
            </w:pPr>
            <w:r>
              <w:rPr>
                <w:spacing w:val="-3"/>
              </w:rPr>
              <w:t>重新谈判</w:t>
            </w:r>
          </w:p>
        </w:tc>
        <w:tc>
          <w:tcPr>
            <w:tcW w:w="7158" w:type="dxa"/>
          </w:tcPr>
          <w:p w14:paraId="62B34639">
            <w:pPr>
              <w:pStyle w:val="21"/>
              <w:spacing w:before="70" w:line="219" w:lineRule="auto"/>
              <w:ind w:left="115"/>
              <w:rPr>
                <w:rFonts w:hint="eastAsia"/>
                <w:lang w:eastAsia="zh-CN"/>
              </w:rPr>
            </w:pPr>
            <w:r>
              <w:rPr>
                <w:spacing w:val="-1"/>
                <w:lang w:eastAsia="zh-CN"/>
              </w:rPr>
              <w:t>有下列情形之一的，采购人将重新谈判</w:t>
            </w:r>
          </w:p>
          <w:p w14:paraId="1299DDB7">
            <w:pPr>
              <w:pStyle w:val="21"/>
              <w:spacing w:before="53" w:line="219" w:lineRule="auto"/>
              <w:ind w:left="132"/>
              <w:rPr>
                <w:rFonts w:hint="eastAsia"/>
                <w:lang w:eastAsia="zh-CN"/>
              </w:rPr>
            </w:pPr>
            <w:r>
              <w:rPr>
                <w:spacing w:val="-2"/>
                <w:lang w:eastAsia="zh-CN"/>
              </w:rPr>
              <w:t>1.截至到谈判开始时间，提交响应文件的供应商少于</w:t>
            </w:r>
            <w:r>
              <w:rPr>
                <w:spacing w:val="-42"/>
                <w:lang w:eastAsia="zh-CN"/>
              </w:rPr>
              <w:t xml:space="preserve"> </w:t>
            </w:r>
            <w:r>
              <w:rPr>
                <w:spacing w:val="-2"/>
                <w:lang w:eastAsia="zh-CN"/>
              </w:rPr>
              <w:t>3</w:t>
            </w:r>
            <w:r>
              <w:rPr>
                <w:spacing w:val="-51"/>
                <w:lang w:eastAsia="zh-CN"/>
              </w:rPr>
              <w:t xml:space="preserve"> </w:t>
            </w:r>
            <w:r>
              <w:rPr>
                <w:spacing w:val="-2"/>
                <w:lang w:eastAsia="zh-CN"/>
              </w:rPr>
              <w:t>个的；</w:t>
            </w:r>
          </w:p>
          <w:p w14:paraId="33DB6343">
            <w:pPr>
              <w:pStyle w:val="21"/>
              <w:spacing w:before="56" w:line="249" w:lineRule="auto"/>
              <w:ind w:left="117" w:right="114"/>
              <w:rPr>
                <w:rFonts w:hint="eastAsia"/>
                <w:lang w:eastAsia="zh-CN"/>
              </w:rPr>
            </w:pPr>
            <w:r>
              <w:rPr>
                <w:spacing w:val="-2"/>
                <w:lang w:eastAsia="zh-CN"/>
              </w:rPr>
              <w:t>2.经评审委员会评审，否决部分供应商响应文件后少于</w:t>
            </w:r>
            <w:r>
              <w:rPr>
                <w:spacing w:val="-45"/>
                <w:lang w:eastAsia="zh-CN"/>
              </w:rPr>
              <w:t xml:space="preserve"> </w:t>
            </w:r>
            <w:r>
              <w:rPr>
                <w:spacing w:val="-2"/>
                <w:lang w:eastAsia="zh-CN"/>
              </w:rPr>
              <w:t>3</w:t>
            </w:r>
            <w:r>
              <w:rPr>
                <w:spacing w:val="-51"/>
                <w:lang w:eastAsia="zh-CN"/>
              </w:rPr>
              <w:t xml:space="preserve"> </w:t>
            </w:r>
            <w:r>
              <w:rPr>
                <w:spacing w:val="-3"/>
                <w:lang w:eastAsia="zh-CN"/>
              </w:rPr>
              <w:t>个，缺乏</w:t>
            </w:r>
            <w:r>
              <w:rPr>
                <w:lang w:eastAsia="zh-CN"/>
              </w:rPr>
              <w:t xml:space="preserve"> </w:t>
            </w:r>
            <w:r>
              <w:rPr>
                <w:spacing w:val="-3"/>
                <w:lang w:eastAsia="zh-CN"/>
              </w:rPr>
              <w:t>竞争性的；</w:t>
            </w:r>
          </w:p>
          <w:p w14:paraId="027BDA82">
            <w:pPr>
              <w:pStyle w:val="21"/>
              <w:spacing w:before="31" w:line="204" w:lineRule="auto"/>
              <w:ind w:left="119"/>
              <w:rPr>
                <w:rFonts w:hint="eastAsia"/>
                <w:lang w:eastAsia="zh-CN"/>
              </w:rPr>
            </w:pPr>
            <w:r>
              <w:rPr>
                <w:spacing w:val="-1"/>
                <w:lang w:eastAsia="zh-CN"/>
              </w:rPr>
              <w:t>3.经评审委员会评审否决所有响应文件的。</w:t>
            </w:r>
          </w:p>
        </w:tc>
      </w:tr>
      <w:tr w14:paraId="112CA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962" w:type="dxa"/>
          </w:tcPr>
          <w:p w14:paraId="46BCE0FA">
            <w:pPr>
              <w:pStyle w:val="21"/>
              <w:spacing w:before="296" w:line="184" w:lineRule="auto"/>
              <w:ind w:left="266"/>
              <w:rPr>
                <w:rFonts w:hint="eastAsia"/>
              </w:rPr>
            </w:pPr>
            <w:r>
              <w:rPr>
                <w:rFonts w:hint="eastAsia"/>
                <w:spacing w:val="-7"/>
                <w:lang w:eastAsia="zh-CN"/>
              </w:rPr>
              <w:t>9</w:t>
            </w:r>
            <w:r>
              <w:rPr>
                <w:spacing w:val="-7"/>
              </w:rPr>
              <w:t>.1</w:t>
            </w:r>
          </w:p>
        </w:tc>
        <w:tc>
          <w:tcPr>
            <w:tcW w:w="8817" w:type="dxa"/>
            <w:gridSpan w:val="2"/>
          </w:tcPr>
          <w:p w14:paraId="570FB8AD">
            <w:pPr>
              <w:pStyle w:val="21"/>
              <w:spacing w:before="106" w:line="246" w:lineRule="auto"/>
              <w:ind w:left="111" w:right="114"/>
              <w:rPr>
                <w:rFonts w:hint="eastAsia"/>
                <w:lang w:eastAsia="zh-CN"/>
              </w:rPr>
            </w:pPr>
            <w:r>
              <w:rPr>
                <w:spacing w:val="-2"/>
                <w:lang w:eastAsia="zh-CN"/>
              </w:rPr>
              <w:t>在任何评审环节中，需评审委员会就某项定性的评审结论做出表决的，由评审委员</w:t>
            </w:r>
            <w:r>
              <w:rPr>
                <w:spacing w:val="16"/>
                <w:lang w:eastAsia="zh-CN"/>
              </w:rPr>
              <w:t xml:space="preserve"> </w:t>
            </w:r>
            <w:r>
              <w:rPr>
                <w:spacing w:val="-1"/>
                <w:lang w:eastAsia="zh-CN"/>
              </w:rPr>
              <w:t>会全体成员按照少数服从多数的原则，以记名投票方式表决。</w:t>
            </w:r>
          </w:p>
        </w:tc>
      </w:tr>
      <w:tr w14:paraId="3B3D7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962" w:type="dxa"/>
          </w:tcPr>
          <w:p w14:paraId="791848DD">
            <w:pPr>
              <w:pStyle w:val="21"/>
              <w:spacing w:before="298" w:line="184" w:lineRule="auto"/>
              <w:ind w:left="266"/>
              <w:rPr>
                <w:rFonts w:hint="eastAsia"/>
              </w:rPr>
            </w:pPr>
            <w:r>
              <w:rPr>
                <w:rFonts w:hint="eastAsia"/>
                <w:spacing w:val="-7"/>
                <w:lang w:eastAsia="zh-CN"/>
              </w:rPr>
              <w:t>9</w:t>
            </w:r>
            <w:r>
              <w:rPr>
                <w:spacing w:val="-7"/>
              </w:rPr>
              <w:t>.2</w:t>
            </w:r>
          </w:p>
        </w:tc>
        <w:tc>
          <w:tcPr>
            <w:tcW w:w="8817" w:type="dxa"/>
            <w:gridSpan w:val="2"/>
          </w:tcPr>
          <w:p w14:paraId="33B03C99">
            <w:pPr>
              <w:pStyle w:val="21"/>
              <w:spacing w:before="108" w:line="219" w:lineRule="auto"/>
              <w:ind w:left="112"/>
              <w:rPr>
                <w:rFonts w:hint="eastAsia"/>
                <w:lang w:eastAsia="zh-CN"/>
              </w:rPr>
            </w:pPr>
            <w:r>
              <w:rPr>
                <w:spacing w:val="-3"/>
                <w:lang w:eastAsia="zh-CN"/>
              </w:rPr>
              <w:t>供应商认为谈判文件中有限制、排斥供应商</w:t>
            </w:r>
            <w:r>
              <w:rPr>
                <w:spacing w:val="-4"/>
                <w:lang w:eastAsia="zh-CN"/>
              </w:rPr>
              <w:t>情形的，应当在谈判开始时间</w:t>
            </w:r>
            <w:r>
              <w:rPr>
                <w:spacing w:val="-47"/>
                <w:lang w:eastAsia="zh-CN"/>
              </w:rPr>
              <w:t xml:space="preserve"> </w:t>
            </w:r>
            <w:r>
              <w:rPr>
                <w:spacing w:val="-4"/>
                <w:lang w:eastAsia="zh-CN"/>
              </w:rPr>
              <w:t>2 日前向</w:t>
            </w:r>
          </w:p>
          <w:p w14:paraId="0B118C3B">
            <w:pPr>
              <w:pStyle w:val="21"/>
              <w:spacing w:before="53" w:line="219" w:lineRule="auto"/>
              <w:ind w:left="111"/>
              <w:outlineLvl w:val="0"/>
              <w:rPr>
                <w:rFonts w:hint="eastAsia"/>
                <w:lang w:eastAsia="zh-CN"/>
              </w:rPr>
            </w:pPr>
            <w:r>
              <w:rPr>
                <w:lang w:eastAsia="zh-CN"/>
              </w:rPr>
              <w:t>采购人书面提出，未在规定时间内提出异议的，视</w:t>
            </w:r>
            <w:r>
              <w:rPr>
                <w:spacing w:val="-1"/>
                <w:lang w:eastAsia="zh-CN"/>
              </w:rPr>
              <w:t>为对谈判文件无异议。</w:t>
            </w:r>
          </w:p>
        </w:tc>
      </w:tr>
    </w:tbl>
    <w:p w14:paraId="3FA4532B">
      <w:pPr>
        <w:pStyle w:val="11"/>
        <w:rPr>
          <w:lang w:eastAsia="zh-CN"/>
        </w:rPr>
      </w:pPr>
    </w:p>
    <w:p w14:paraId="1E17693F">
      <w:pPr>
        <w:rPr>
          <w:lang w:eastAsia="zh-CN"/>
        </w:rPr>
        <w:sectPr>
          <w:footerReference r:id="rId7" w:type="default"/>
          <w:pgSz w:w="11906" w:h="16839"/>
          <w:pgMar w:top="1418" w:right="1057" w:bottom="1156" w:left="1063" w:header="0" w:footer="994" w:gutter="0"/>
          <w:cols w:space="720" w:num="1"/>
        </w:sectPr>
      </w:pPr>
    </w:p>
    <w:p w14:paraId="032D5A73">
      <w:pPr>
        <w:pStyle w:val="28"/>
        <w:spacing w:before="120"/>
        <w:rPr>
          <w:rStyle w:val="29"/>
          <w:b/>
          <w:bCs w:val="0"/>
          <w:lang w:eastAsia="zh-CN"/>
        </w:rPr>
      </w:pPr>
      <w:bookmarkStart w:id="0" w:name="_Toc8764"/>
      <w:bookmarkStart w:id="1" w:name="_Toc4793"/>
      <w:r>
        <w:rPr>
          <w:rFonts w:hint="eastAsia"/>
          <w:sz w:val="32"/>
          <w:szCs w:val="32"/>
          <w:lang w:eastAsia="zh-CN"/>
        </w:rPr>
        <w:t>谈判须知正文部分</w:t>
      </w:r>
      <w:bookmarkEnd w:id="0"/>
      <w:bookmarkEnd w:id="1"/>
    </w:p>
    <w:p w14:paraId="7DF3A8F8">
      <w:pPr>
        <w:pStyle w:val="22"/>
        <w:rPr>
          <w:rStyle w:val="29"/>
          <w:rFonts w:hint="eastAsia"/>
          <w:b w:val="0"/>
          <w:bCs w:val="0"/>
          <w:lang w:eastAsia="zh-CN"/>
        </w:rPr>
      </w:pPr>
      <w:bookmarkStart w:id="2" w:name="_Toc506105818"/>
      <w:bookmarkStart w:id="3" w:name="_Toc507936013"/>
      <w:r>
        <w:rPr>
          <w:rStyle w:val="29"/>
          <w:rFonts w:hint="eastAsia"/>
          <w:b w:val="0"/>
          <w:bCs w:val="0"/>
          <w:lang w:eastAsia="zh-CN"/>
        </w:rPr>
        <w:t>1.总则</w:t>
      </w:r>
      <w:bookmarkEnd w:id="2"/>
      <w:bookmarkEnd w:id="3"/>
    </w:p>
    <w:p w14:paraId="07A61EF8">
      <w:pPr>
        <w:pStyle w:val="27"/>
        <w:rPr>
          <w:lang w:eastAsia="zh-CN"/>
        </w:rPr>
      </w:pPr>
      <w:bookmarkStart w:id="4" w:name="_Toc507936014"/>
      <w:bookmarkStart w:id="5" w:name="_Toc506105819"/>
      <w:r>
        <w:rPr>
          <w:rFonts w:hint="eastAsia"/>
          <w:lang w:eastAsia="zh-CN"/>
        </w:rPr>
        <w:t>1.1 项目概况</w:t>
      </w:r>
      <w:bookmarkEnd w:id="4"/>
      <w:bookmarkEnd w:id="5"/>
    </w:p>
    <w:p w14:paraId="0AFED7A7">
      <w:pPr>
        <w:pStyle w:val="30"/>
        <w:keepNext w:val="0"/>
        <w:keepLines w:val="0"/>
        <w:spacing w:before="0" w:line="360" w:lineRule="auto"/>
        <w:ind w:firstLine="480" w:firstLineChars="200"/>
        <w:rPr>
          <w:szCs w:val="28"/>
          <w:lang w:eastAsia="zh-CN"/>
        </w:rPr>
      </w:pPr>
      <w:r>
        <w:rPr>
          <w:rFonts w:hint="eastAsia" w:ascii="宋体" w:hAnsi="宋体" w:cs="仿宋"/>
          <w:sz w:val="24"/>
          <w:lang w:eastAsia="zh-CN"/>
        </w:rPr>
        <w:t xml:space="preserve">1.1.1 </w:t>
      </w:r>
      <w:r>
        <w:rPr>
          <w:rFonts w:hint="eastAsia" w:ascii="宋体" w:hAnsi="宋体" w:eastAsia="宋体" w:cs="仿宋"/>
          <w:kern w:val="2"/>
          <w:sz w:val="24"/>
          <w:szCs w:val="24"/>
          <w:lang w:eastAsia="zh-CN"/>
        </w:rPr>
        <w:t>采购人：</w:t>
      </w:r>
      <w:r>
        <w:rPr>
          <w:rFonts w:hint="eastAsia" w:ascii="宋体" w:hAnsi="宋体" w:eastAsia="宋体" w:cs="仿宋"/>
          <w:sz w:val="24"/>
          <w:szCs w:val="24"/>
          <w:lang w:eastAsia="zh-CN"/>
        </w:rPr>
        <w:t>详见谈判</w:t>
      </w:r>
      <w:r>
        <w:rPr>
          <w:rFonts w:hint="eastAsia" w:ascii="宋体" w:hAnsi="宋体" w:eastAsia="宋体" w:cs="仿宋"/>
          <w:kern w:val="2"/>
          <w:sz w:val="24"/>
          <w:szCs w:val="24"/>
          <w:lang w:eastAsia="zh-CN"/>
        </w:rPr>
        <w:t>须知前附表</w:t>
      </w:r>
    </w:p>
    <w:p w14:paraId="6DA3E70D">
      <w:pPr>
        <w:spacing w:line="360" w:lineRule="auto"/>
        <w:ind w:firstLine="480" w:firstLineChars="200"/>
        <w:rPr>
          <w:rFonts w:ascii="宋体" w:hAnsi="宋体" w:cs="仿宋"/>
          <w:sz w:val="24"/>
          <w:lang w:eastAsia="zh-CN"/>
        </w:rPr>
      </w:pPr>
      <w:r>
        <w:rPr>
          <w:rFonts w:hint="eastAsia" w:ascii="宋体" w:hAnsi="宋体" w:cs="仿宋"/>
          <w:sz w:val="24"/>
          <w:lang w:eastAsia="zh-CN"/>
        </w:rPr>
        <w:t xml:space="preserve">1.1.2 </w:t>
      </w:r>
      <w:r>
        <w:rPr>
          <w:rFonts w:hint="eastAsia" w:cs="仿宋"/>
          <w:sz w:val="24"/>
          <w:lang w:eastAsia="zh-CN"/>
        </w:rPr>
        <w:t>采购</w:t>
      </w:r>
      <w:r>
        <w:rPr>
          <w:rFonts w:hint="eastAsia" w:ascii="宋体" w:hAnsi="宋体" w:cs="仿宋"/>
          <w:sz w:val="24"/>
          <w:lang w:eastAsia="zh-CN"/>
        </w:rPr>
        <w:t>项目名称：详见</w:t>
      </w:r>
      <w:r>
        <w:rPr>
          <w:rFonts w:hint="eastAsia" w:cs="仿宋"/>
          <w:sz w:val="24"/>
          <w:lang w:eastAsia="zh-CN"/>
        </w:rPr>
        <w:t>谈判</w:t>
      </w:r>
      <w:r>
        <w:rPr>
          <w:rFonts w:hint="eastAsia" w:ascii="宋体" w:hAnsi="宋体" w:cs="仿宋"/>
          <w:sz w:val="24"/>
          <w:lang w:eastAsia="zh-CN"/>
        </w:rPr>
        <w:t>须知前附表</w:t>
      </w:r>
    </w:p>
    <w:p w14:paraId="43E3BF34">
      <w:pPr>
        <w:spacing w:line="360" w:lineRule="auto"/>
        <w:ind w:firstLine="480" w:firstLineChars="200"/>
        <w:rPr>
          <w:rFonts w:ascii="宋体" w:hAnsi="宋体" w:cs="仿宋"/>
          <w:sz w:val="24"/>
          <w:lang w:eastAsia="zh-CN"/>
        </w:rPr>
      </w:pPr>
      <w:r>
        <w:rPr>
          <w:rFonts w:hint="eastAsia" w:ascii="宋体" w:hAnsi="宋体" w:cs="仿宋"/>
          <w:sz w:val="24"/>
          <w:lang w:eastAsia="zh-CN"/>
        </w:rPr>
        <w:t>1.1.3</w:t>
      </w:r>
      <w:r>
        <w:rPr>
          <w:rFonts w:hint="eastAsia" w:cs="仿宋"/>
          <w:sz w:val="24"/>
          <w:lang w:eastAsia="zh-CN"/>
        </w:rPr>
        <w:t>项目</w:t>
      </w:r>
      <w:r>
        <w:rPr>
          <w:rFonts w:hint="eastAsia" w:ascii="宋体" w:hAnsi="宋体" w:cs="仿宋"/>
          <w:sz w:val="24"/>
          <w:lang w:eastAsia="zh-CN"/>
        </w:rPr>
        <w:t>概况: 详见</w:t>
      </w:r>
      <w:r>
        <w:rPr>
          <w:rFonts w:hint="eastAsia" w:cs="仿宋"/>
          <w:sz w:val="24"/>
          <w:lang w:eastAsia="zh-CN"/>
        </w:rPr>
        <w:t>谈判</w:t>
      </w:r>
      <w:r>
        <w:rPr>
          <w:rFonts w:hint="eastAsia" w:ascii="宋体" w:hAnsi="宋体" w:cs="仿宋"/>
          <w:sz w:val="24"/>
          <w:lang w:eastAsia="zh-CN"/>
        </w:rPr>
        <w:t>须知前附表</w:t>
      </w:r>
    </w:p>
    <w:p w14:paraId="132B13DF">
      <w:pPr>
        <w:spacing w:line="360" w:lineRule="auto"/>
        <w:ind w:firstLine="480" w:firstLineChars="200"/>
        <w:rPr>
          <w:rFonts w:ascii="宋体" w:hAnsi="宋体" w:cs="仿宋"/>
          <w:sz w:val="24"/>
          <w:lang w:eastAsia="zh-CN"/>
        </w:rPr>
      </w:pPr>
      <w:r>
        <w:rPr>
          <w:rFonts w:hint="eastAsia" w:ascii="宋体" w:hAnsi="宋体" w:cs="仿宋"/>
          <w:sz w:val="24"/>
          <w:lang w:eastAsia="zh-CN"/>
        </w:rPr>
        <w:t>1.1.4 项目地点：详见</w:t>
      </w:r>
      <w:r>
        <w:rPr>
          <w:rFonts w:hint="eastAsia" w:cs="仿宋"/>
          <w:sz w:val="24"/>
          <w:lang w:eastAsia="zh-CN"/>
        </w:rPr>
        <w:t>谈判</w:t>
      </w:r>
      <w:r>
        <w:rPr>
          <w:rFonts w:hint="eastAsia" w:ascii="宋体" w:hAnsi="宋体" w:cs="仿宋"/>
          <w:sz w:val="24"/>
          <w:lang w:eastAsia="zh-CN"/>
        </w:rPr>
        <w:t>须知前附表</w:t>
      </w:r>
    </w:p>
    <w:p w14:paraId="76A60DA7">
      <w:pPr>
        <w:pStyle w:val="27"/>
        <w:rPr>
          <w:lang w:eastAsia="zh-CN"/>
        </w:rPr>
      </w:pPr>
      <w:bookmarkStart w:id="6" w:name="_Toc506105820"/>
      <w:bookmarkStart w:id="7" w:name="_Toc247513954"/>
      <w:bookmarkStart w:id="8" w:name="_Toc300834951"/>
      <w:bookmarkStart w:id="9" w:name="_Toc328559028"/>
      <w:bookmarkStart w:id="10" w:name="_Toc27657"/>
      <w:bookmarkStart w:id="11" w:name="_Toc25497"/>
      <w:bookmarkStart w:id="12" w:name="_Toc247527555"/>
      <w:bookmarkStart w:id="13" w:name="_Toc507936015"/>
      <w:r>
        <w:rPr>
          <w:rFonts w:hint="eastAsia"/>
          <w:lang w:eastAsia="zh-CN"/>
        </w:rPr>
        <w:t>1.2 项目资金来源</w:t>
      </w:r>
      <w:bookmarkEnd w:id="6"/>
      <w:bookmarkEnd w:id="7"/>
      <w:bookmarkEnd w:id="8"/>
      <w:bookmarkEnd w:id="9"/>
      <w:bookmarkEnd w:id="10"/>
      <w:bookmarkEnd w:id="11"/>
      <w:bookmarkEnd w:id="12"/>
      <w:r>
        <w:rPr>
          <w:rFonts w:hint="eastAsia"/>
          <w:lang w:eastAsia="zh-CN"/>
        </w:rPr>
        <w:t>、采购</w:t>
      </w:r>
      <w:r>
        <w:rPr>
          <w:rFonts w:hint="eastAsia" w:eastAsia="宋体" w:cs="宋体"/>
          <w:lang w:eastAsia="zh-CN"/>
        </w:rPr>
        <w:t>方</w:t>
      </w:r>
      <w:r>
        <w:rPr>
          <w:rFonts w:hint="eastAsia"/>
          <w:lang w:eastAsia="zh-CN"/>
        </w:rPr>
        <w:t>式、采购控价</w:t>
      </w:r>
      <w:bookmarkEnd w:id="13"/>
    </w:p>
    <w:p w14:paraId="5B66AFFC">
      <w:pPr>
        <w:spacing w:line="360" w:lineRule="auto"/>
        <w:ind w:firstLine="480" w:firstLineChars="200"/>
        <w:rPr>
          <w:rFonts w:ascii="宋体" w:hAnsi="宋体" w:cs="仿宋"/>
          <w:sz w:val="24"/>
          <w:lang w:eastAsia="zh-CN"/>
        </w:rPr>
      </w:pPr>
      <w:r>
        <w:rPr>
          <w:rFonts w:hint="eastAsia" w:ascii="宋体" w:hAnsi="宋体" w:cs="仿宋"/>
          <w:sz w:val="24"/>
          <w:lang w:eastAsia="zh-CN"/>
        </w:rPr>
        <w:t>1.2.1 项目资金来源：</w:t>
      </w:r>
      <w:bookmarkStart w:id="14" w:name="_Toc30612"/>
      <w:bookmarkStart w:id="15" w:name="_Toc328559029"/>
      <w:bookmarkStart w:id="16" w:name="_Toc16572"/>
      <w:bookmarkStart w:id="17" w:name="_Toc247527556"/>
      <w:bookmarkStart w:id="18" w:name="_Toc247513955"/>
      <w:bookmarkStart w:id="19" w:name="_Toc300834952"/>
      <w:r>
        <w:rPr>
          <w:rFonts w:hint="eastAsia" w:ascii="宋体" w:hAnsi="宋体" w:cs="仿宋"/>
          <w:sz w:val="24"/>
          <w:lang w:eastAsia="zh-CN"/>
        </w:rPr>
        <w:t>详见</w:t>
      </w:r>
      <w:r>
        <w:rPr>
          <w:rFonts w:hint="eastAsia" w:cs="仿宋"/>
          <w:sz w:val="24"/>
          <w:lang w:eastAsia="zh-CN"/>
        </w:rPr>
        <w:t>谈判</w:t>
      </w:r>
      <w:r>
        <w:rPr>
          <w:rFonts w:hint="eastAsia" w:ascii="宋体" w:hAnsi="宋体" w:cs="仿宋"/>
          <w:sz w:val="24"/>
          <w:lang w:eastAsia="zh-CN"/>
        </w:rPr>
        <w:t>须知前附表</w:t>
      </w:r>
    </w:p>
    <w:p w14:paraId="0D7A3B2E">
      <w:pPr>
        <w:spacing w:line="360" w:lineRule="auto"/>
        <w:ind w:firstLine="480" w:firstLineChars="200"/>
        <w:rPr>
          <w:rFonts w:ascii="宋体" w:hAnsi="宋体" w:cs="仿宋"/>
          <w:sz w:val="24"/>
          <w:lang w:eastAsia="zh-CN"/>
        </w:rPr>
      </w:pPr>
      <w:r>
        <w:rPr>
          <w:rFonts w:hint="eastAsia" w:ascii="宋体" w:hAnsi="宋体" w:cs="仿宋"/>
          <w:sz w:val="24"/>
          <w:lang w:eastAsia="zh-CN"/>
        </w:rPr>
        <w:t>1.2.2</w:t>
      </w:r>
      <w:r>
        <w:rPr>
          <w:rFonts w:hint="eastAsia" w:cs="仿宋"/>
          <w:sz w:val="24"/>
          <w:lang w:eastAsia="zh-CN"/>
        </w:rPr>
        <w:t>采购</w:t>
      </w:r>
      <w:r>
        <w:rPr>
          <w:rFonts w:hint="eastAsia" w:ascii="宋体" w:hAnsi="宋体" w:eastAsia="宋体" w:cs="宋体"/>
          <w:sz w:val="24"/>
          <w:lang w:eastAsia="zh-CN"/>
        </w:rPr>
        <w:t>方</w:t>
      </w:r>
      <w:r>
        <w:rPr>
          <w:rFonts w:hint="eastAsia" w:ascii="宋体" w:hAnsi="宋体" w:cs="仿宋"/>
          <w:sz w:val="24"/>
          <w:lang w:eastAsia="zh-CN"/>
        </w:rPr>
        <w:t>式：详见</w:t>
      </w:r>
      <w:r>
        <w:rPr>
          <w:rFonts w:hint="eastAsia" w:cs="仿宋"/>
          <w:sz w:val="24"/>
          <w:lang w:eastAsia="zh-CN"/>
        </w:rPr>
        <w:t>谈判</w:t>
      </w:r>
      <w:r>
        <w:rPr>
          <w:rFonts w:hint="eastAsia" w:ascii="宋体" w:hAnsi="宋体" w:cs="仿宋"/>
          <w:sz w:val="24"/>
          <w:lang w:eastAsia="zh-CN"/>
        </w:rPr>
        <w:t>须知前附表</w:t>
      </w:r>
    </w:p>
    <w:p w14:paraId="253D0504">
      <w:pPr>
        <w:pStyle w:val="3"/>
        <w:ind w:left="0" w:leftChars="0" w:firstLine="480"/>
        <w:rPr>
          <w:rFonts w:eastAsia="宋体"/>
          <w:lang w:eastAsia="zh-CN"/>
        </w:rPr>
      </w:pPr>
      <w:r>
        <w:rPr>
          <w:rFonts w:hint="eastAsia" w:ascii="宋体" w:hAnsi="宋体" w:cs="仿宋"/>
          <w:sz w:val="24"/>
          <w:lang w:eastAsia="zh-CN"/>
        </w:rPr>
        <w:t>1.2.3</w:t>
      </w:r>
      <w:r>
        <w:rPr>
          <w:rFonts w:hint="eastAsia"/>
          <w:lang w:eastAsia="zh-CN"/>
        </w:rPr>
        <w:t>采购控价：</w:t>
      </w:r>
      <w:r>
        <w:rPr>
          <w:rFonts w:hint="eastAsia" w:ascii="宋体" w:hAnsi="宋体" w:cs="仿宋"/>
          <w:sz w:val="24"/>
          <w:lang w:eastAsia="zh-CN"/>
        </w:rPr>
        <w:t>详见</w:t>
      </w:r>
      <w:r>
        <w:rPr>
          <w:rFonts w:hint="eastAsia" w:cs="仿宋"/>
          <w:sz w:val="24"/>
          <w:lang w:eastAsia="zh-CN"/>
        </w:rPr>
        <w:t>谈判</w:t>
      </w:r>
      <w:r>
        <w:rPr>
          <w:rFonts w:hint="eastAsia" w:ascii="宋体" w:hAnsi="宋体" w:cs="仿宋"/>
          <w:sz w:val="24"/>
          <w:lang w:eastAsia="zh-CN"/>
        </w:rPr>
        <w:t>须知前附表</w:t>
      </w:r>
    </w:p>
    <w:p w14:paraId="30F631DC">
      <w:pPr>
        <w:pStyle w:val="27"/>
        <w:rPr>
          <w:lang w:eastAsia="zh-CN"/>
        </w:rPr>
      </w:pPr>
      <w:bookmarkStart w:id="20" w:name="_Toc506105821"/>
      <w:bookmarkStart w:id="21" w:name="_Toc507936016"/>
      <w:r>
        <w:rPr>
          <w:rFonts w:hint="eastAsia"/>
          <w:lang w:eastAsia="zh-CN"/>
        </w:rPr>
        <w:t>1.3 采购范围、周期、</w:t>
      </w:r>
      <w:bookmarkEnd w:id="14"/>
      <w:bookmarkEnd w:id="15"/>
      <w:bookmarkEnd w:id="16"/>
      <w:bookmarkEnd w:id="17"/>
      <w:bookmarkEnd w:id="18"/>
      <w:bookmarkEnd w:id="19"/>
      <w:bookmarkEnd w:id="20"/>
      <w:r>
        <w:rPr>
          <w:rFonts w:hint="eastAsia"/>
          <w:lang w:eastAsia="zh-CN"/>
        </w:rPr>
        <w:t>交货地点和质保期</w:t>
      </w:r>
      <w:bookmarkEnd w:id="21"/>
    </w:p>
    <w:p w14:paraId="6FE3A2BB">
      <w:pPr>
        <w:tabs>
          <w:tab w:val="left" w:pos="220"/>
        </w:tabs>
        <w:spacing w:line="360" w:lineRule="auto"/>
        <w:ind w:firstLine="480" w:firstLineChars="200"/>
        <w:rPr>
          <w:rFonts w:ascii="宋体" w:hAnsi="宋体" w:cs="仿宋"/>
          <w:sz w:val="24"/>
          <w:lang w:eastAsia="zh-CN"/>
        </w:rPr>
      </w:pPr>
      <w:r>
        <w:rPr>
          <w:rFonts w:hint="eastAsia" w:ascii="宋体" w:hAnsi="宋体" w:cs="仿宋"/>
          <w:sz w:val="24"/>
          <w:lang w:eastAsia="zh-CN"/>
        </w:rPr>
        <w:t xml:space="preserve">1.3.1 </w:t>
      </w:r>
      <w:r>
        <w:rPr>
          <w:rFonts w:hint="eastAsia" w:cs="仿宋"/>
          <w:sz w:val="24"/>
          <w:lang w:eastAsia="zh-CN"/>
        </w:rPr>
        <w:t>采购</w:t>
      </w:r>
      <w:r>
        <w:rPr>
          <w:rFonts w:hint="eastAsia" w:ascii="宋体" w:hAnsi="宋体" w:cs="仿宋"/>
          <w:sz w:val="24"/>
          <w:lang w:eastAsia="zh-CN"/>
        </w:rPr>
        <w:t>范围：详见</w:t>
      </w:r>
      <w:r>
        <w:rPr>
          <w:rFonts w:hint="eastAsia" w:cs="仿宋"/>
          <w:sz w:val="24"/>
          <w:lang w:eastAsia="zh-CN"/>
        </w:rPr>
        <w:t>谈判</w:t>
      </w:r>
      <w:r>
        <w:rPr>
          <w:rFonts w:hint="eastAsia" w:ascii="宋体" w:hAnsi="宋体" w:cs="仿宋"/>
          <w:sz w:val="24"/>
          <w:lang w:eastAsia="zh-CN"/>
        </w:rPr>
        <w:t>须知前附表</w:t>
      </w:r>
    </w:p>
    <w:p w14:paraId="0AE6C9A9">
      <w:pPr>
        <w:spacing w:line="360" w:lineRule="auto"/>
        <w:ind w:firstLine="480" w:firstLineChars="200"/>
        <w:rPr>
          <w:rFonts w:ascii="宋体" w:hAnsi="宋体" w:cs="仿宋"/>
          <w:sz w:val="24"/>
          <w:lang w:eastAsia="zh-CN"/>
        </w:rPr>
      </w:pPr>
      <w:r>
        <w:rPr>
          <w:rFonts w:hint="eastAsia" w:ascii="宋体" w:hAnsi="宋体" w:cs="仿宋"/>
          <w:sz w:val="24"/>
          <w:lang w:eastAsia="zh-CN"/>
        </w:rPr>
        <w:t>1.3.2 周期：详见</w:t>
      </w:r>
      <w:r>
        <w:rPr>
          <w:rFonts w:hint="eastAsia" w:cs="仿宋"/>
          <w:sz w:val="24"/>
          <w:lang w:eastAsia="zh-CN"/>
        </w:rPr>
        <w:t>谈判</w:t>
      </w:r>
      <w:r>
        <w:rPr>
          <w:rFonts w:hint="eastAsia" w:ascii="宋体" w:hAnsi="宋体" w:cs="仿宋"/>
          <w:sz w:val="24"/>
          <w:lang w:eastAsia="zh-CN"/>
        </w:rPr>
        <w:t>须知前附表</w:t>
      </w:r>
    </w:p>
    <w:p w14:paraId="52D31742">
      <w:pPr>
        <w:spacing w:line="360" w:lineRule="auto"/>
        <w:ind w:firstLine="480" w:firstLineChars="200"/>
        <w:rPr>
          <w:rFonts w:ascii="宋体" w:hAnsi="宋体" w:cs="仿宋"/>
          <w:sz w:val="24"/>
          <w:lang w:eastAsia="zh-CN"/>
        </w:rPr>
      </w:pPr>
      <w:r>
        <w:rPr>
          <w:rFonts w:hint="eastAsia" w:ascii="宋体" w:hAnsi="宋体" w:cs="仿宋"/>
          <w:sz w:val="24"/>
          <w:lang w:eastAsia="zh-CN"/>
        </w:rPr>
        <w:t>1.3.3 地点：详见</w:t>
      </w:r>
      <w:r>
        <w:rPr>
          <w:rFonts w:hint="eastAsia" w:cs="仿宋"/>
          <w:sz w:val="24"/>
          <w:lang w:eastAsia="zh-CN"/>
        </w:rPr>
        <w:t>谈判</w:t>
      </w:r>
      <w:r>
        <w:rPr>
          <w:rFonts w:hint="eastAsia" w:ascii="宋体" w:hAnsi="宋体" w:cs="仿宋"/>
          <w:sz w:val="24"/>
          <w:lang w:eastAsia="zh-CN"/>
        </w:rPr>
        <w:t>须知前附表</w:t>
      </w:r>
    </w:p>
    <w:p w14:paraId="07302808">
      <w:pPr>
        <w:spacing w:line="360" w:lineRule="auto"/>
        <w:ind w:firstLine="480" w:firstLineChars="200"/>
        <w:rPr>
          <w:rFonts w:ascii="宋体" w:hAnsi="宋体" w:cs="仿宋"/>
          <w:sz w:val="24"/>
          <w:lang w:eastAsia="zh-CN"/>
        </w:rPr>
      </w:pPr>
      <w:r>
        <w:rPr>
          <w:rFonts w:hint="eastAsia" w:ascii="宋体" w:hAnsi="宋体" w:cs="仿宋"/>
          <w:sz w:val="24"/>
          <w:lang w:eastAsia="zh-CN"/>
        </w:rPr>
        <w:t>1.3.4</w:t>
      </w:r>
      <w:r>
        <w:rPr>
          <w:rFonts w:hint="eastAsia" w:ascii="宋体" w:hAnsi="宋体" w:cs="仿宋" w:eastAsiaTheme="minorEastAsia"/>
          <w:sz w:val="24"/>
          <w:lang w:eastAsia="zh-CN"/>
        </w:rPr>
        <w:t xml:space="preserve"> </w:t>
      </w:r>
      <w:r>
        <w:rPr>
          <w:rFonts w:hint="eastAsia" w:ascii="宋体" w:hAnsi="宋体" w:cs="仿宋"/>
          <w:sz w:val="24"/>
          <w:lang w:eastAsia="zh-CN"/>
        </w:rPr>
        <w:t>质保期：详见</w:t>
      </w:r>
      <w:r>
        <w:rPr>
          <w:rFonts w:hint="eastAsia" w:cs="仿宋"/>
          <w:sz w:val="24"/>
          <w:lang w:eastAsia="zh-CN"/>
        </w:rPr>
        <w:t>谈判</w:t>
      </w:r>
      <w:r>
        <w:rPr>
          <w:rFonts w:hint="eastAsia" w:ascii="宋体" w:hAnsi="宋体" w:cs="仿宋"/>
          <w:sz w:val="24"/>
          <w:lang w:eastAsia="zh-CN"/>
        </w:rPr>
        <w:t>须知前附表</w:t>
      </w:r>
    </w:p>
    <w:p w14:paraId="5D7C6158">
      <w:pPr>
        <w:pStyle w:val="27"/>
        <w:rPr>
          <w:lang w:eastAsia="zh-CN"/>
        </w:rPr>
      </w:pPr>
      <w:bookmarkStart w:id="22" w:name="_Toc506105822"/>
      <w:bookmarkStart w:id="23" w:name="_Toc507936017"/>
      <w:r>
        <w:rPr>
          <w:rFonts w:hint="eastAsia"/>
          <w:lang w:eastAsia="zh-CN"/>
        </w:rPr>
        <w:t>1.4 供应商资格要求</w:t>
      </w:r>
      <w:bookmarkEnd w:id="22"/>
      <w:bookmarkEnd w:id="23"/>
    </w:p>
    <w:p w14:paraId="07AF4DC8">
      <w:pPr>
        <w:ind w:firstLine="480" w:firstLineChars="200"/>
        <w:rPr>
          <w:rFonts w:ascii="宋体" w:hAnsi="宋体" w:cs="仿宋"/>
          <w:sz w:val="24"/>
          <w:lang w:eastAsia="zh-CN"/>
        </w:rPr>
      </w:pPr>
      <w:r>
        <w:rPr>
          <w:rFonts w:hint="eastAsia" w:ascii="宋体" w:hAnsi="宋体" w:cs="仿宋"/>
          <w:sz w:val="24"/>
          <w:lang w:eastAsia="zh-CN"/>
        </w:rPr>
        <w:t xml:space="preserve">1.4.1 </w:t>
      </w:r>
      <w:r>
        <w:rPr>
          <w:rFonts w:hint="eastAsia" w:cs="宋体"/>
          <w:sz w:val="24"/>
          <w:lang w:eastAsia="zh-CN"/>
        </w:rPr>
        <w:t>供应商</w:t>
      </w:r>
      <w:r>
        <w:rPr>
          <w:rFonts w:hint="eastAsia" w:ascii="宋体" w:hAnsi="宋体" w:cs="仿宋"/>
          <w:sz w:val="24"/>
          <w:lang w:eastAsia="zh-CN"/>
        </w:rPr>
        <w:t>资格要求：详见</w:t>
      </w:r>
      <w:r>
        <w:rPr>
          <w:rFonts w:hint="eastAsia" w:cs="仿宋"/>
          <w:sz w:val="24"/>
          <w:lang w:eastAsia="zh-CN"/>
        </w:rPr>
        <w:t>谈判</w:t>
      </w:r>
      <w:r>
        <w:rPr>
          <w:rFonts w:hint="eastAsia" w:ascii="宋体" w:hAnsi="宋体" w:cs="仿宋"/>
          <w:sz w:val="24"/>
          <w:lang w:eastAsia="zh-CN"/>
        </w:rPr>
        <w:t>须知前附表</w:t>
      </w:r>
    </w:p>
    <w:p w14:paraId="6B4798D7">
      <w:pPr>
        <w:spacing w:line="360" w:lineRule="auto"/>
        <w:ind w:firstLine="480" w:firstLineChars="200"/>
        <w:rPr>
          <w:rFonts w:ascii="宋体" w:hAnsi="宋体" w:cs="仿宋"/>
          <w:sz w:val="24"/>
          <w:lang w:eastAsia="zh-CN"/>
        </w:rPr>
      </w:pPr>
      <w:r>
        <w:rPr>
          <w:rFonts w:hint="eastAsia" w:ascii="宋体" w:hAnsi="宋体" w:cs="仿宋"/>
          <w:sz w:val="24"/>
          <w:lang w:eastAsia="zh-CN"/>
        </w:rPr>
        <w:t>1.4.2 本</w:t>
      </w:r>
      <w:r>
        <w:rPr>
          <w:rFonts w:hint="eastAsia" w:cs="仿宋"/>
          <w:sz w:val="24"/>
          <w:lang w:eastAsia="zh-CN"/>
        </w:rPr>
        <w:t>次采购</w:t>
      </w:r>
      <w:r>
        <w:rPr>
          <w:rFonts w:hint="eastAsia" w:ascii="宋体" w:hAnsi="宋体" w:cs="仿宋"/>
          <w:sz w:val="24"/>
          <w:lang w:eastAsia="zh-CN"/>
        </w:rPr>
        <w:t>不接受联合体。</w:t>
      </w:r>
    </w:p>
    <w:p w14:paraId="34BF703C">
      <w:pPr>
        <w:spacing w:line="360" w:lineRule="auto"/>
        <w:ind w:firstLine="480" w:firstLineChars="200"/>
        <w:rPr>
          <w:rFonts w:hint="eastAsia" w:ascii="宋体" w:hAnsi="宋体" w:eastAsia="宋体" w:cs="宋体"/>
          <w:sz w:val="24"/>
          <w:lang w:eastAsia="zh-CN"/>
        </w:rPr>
      </w:pPr>
      <w:bookmarkStart w:id="24" w:name="_Toc507936018"/>
      <w:bookmarkStart w:id="25" w:name="_Toc506105823"/>
      <w:r>
        <w:rPr>
          <w:rFonts w:hint="eastAsia" w:ascii="宋体" w:hAnsi="宋体" w:eastAsia="宋体" w:cs="宋体"/>
          <w:sz w:val="24"/>
          <w:lang w:eastAsia="zh-CN"/>
        </w:rPr>
        <w:t>1.4.3供应商不得存在下列情形之一：</w:t>
      </w:r>
    </w:p>
    <w:p w14:paraId="2F4178A7">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（1）与采购人存在利害关系且可能影响采购公正性；</w:t>
      </w:r>
    </w:p>
    <w:p w14:paraId="7DBE63C0">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（2）与本采购项目的其他供应商为同一个单位负责人；</w:t>
      </w:r>
    </w:p>
    <w:p w14:paraId="0C05A8BA">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（3）与本采购项目的其他供应商存在控股、管理关系；</w:t>
      </w:r>
    </w:p>
    <w:p w14:paraId="5026914E">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（4）与本采购项目其他供应商代理同一个制造商同一品牌同一型号的设备；</w:t>
      </w:r>
    </w:p>
    <w:p w14:paraId="72A13DD7">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（5）被依法暂停或者取消资格；</w:t>
      </w:r>
    </w:p>
    <w:p w14:paraId="2ECE5F83">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（6）被责令停产停业、暂扣或者吊销许可证、暂扣或者吊销执照；</w:t>
      </w:r>
    </w:p>
    <w:p w14:paraId="3E32E88D">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（7）进入清算程序，或被宣告破产，或其他丧失履约能力的情形；</w:t>
      </w:r>
    </w:p>
    <w:p w14:paraId="42103965">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（8）在最近三年内发生重大产品质量问题（以相关行业主管部门的行政处罚决定或司法 机关出具的有关法律文书为准）；</w:t>
      </w:r>
    </w:p>
    <w:p w14:paraId="0376BF2C">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（9）被工商行政管理机关在全国企业信用信息公示系统中列入严重违法失信企业名单；</w:t>
      </w:r>
    </w:p>
    <w:p w14:paraId="7D90A88A">
      <w:pPr>
        <w:spacing w:line="360" w:lineRule="auto"/>
        <w:ind w:firstLine="480" w:firstLineChars="200"/>
        <w:rPr>
          <w:rFonts w:hint="eastAsia" w:ascii="宋体" w:hAnsi="宋体" w:eastAsia="宋体" w:cs="宋体"/>
          <w:sz w:val="24"/>
        </w:rPr>
      </w:pPr>
      <w:r>
        <w:rPr>
          <w:rFonts w:hint="eastAsia" w:ascii="宋体" w:hAnsi="宋体" w:eastAsia="宋体" w:cs="宋体"/>
          <w:sz w:val="24"/>
        </w:rPr>
        <w:t>（10）被最高人民法院在“信用中国”网站（www.creditchina.gov.cn)或各级信用信息共享平台中列入失信被执行人名单；</w:t>
      </w:r>
    </w:p>
    <w:p w14:paraId="319EA0C2">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（11）在近三年内供应商或其法定代表人有行贿犯罪行为的（以检察机关职务犯罪预防部门出具的查询结果为准）；</w:t>
      </w:r>
    </w:p>
    <w:p w14:paraId="2D89F83C">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（12）法律法规或供应商须知前附表规定的其他情形。</w:t>
      </w:r>
    </w:p>
    <w:p w14:paraId="2104F3C2">
      <w:pPr>
        <w:pStyle w:val="27"/>
        <w:rPr>
          <w:lang w:eastAsia="zh-CN"/>
        </w:rPr>
      </w:pPr>
      <w:r>
        <w:rPr>
          <w:rFonts w:hint="eastAsia"/>
          <w:lang w:eastAsia="zh-CN"/>
        </w:rPr>
        <w:t>1.5 费用承担</w:t>
      </w:r>
      <w:bookmarkEnd w:id="24"/>
      <w:bookmarkEnd w:id="25"/>
    </w:p>
    <w:p w14:paraId="56082AC6">
      <w:pPr>
        <w:ind w:firstLine="480" w:firstLineChars="200"/>
        <w:rPr>
          <w:rFonts w:ascii="宋体" w:hAnsi="宋体" w:cs="仿宋"/>
          <w:sz w:val="24"/>
          <w:lang w:eastAsia="zh-CN"/>
        </w:rPr>
      </w:pPr>
      <w:r>
        <w:rPr>
          <w:rFonts w:hint="eastAsia" w:cs="宋体"/>
          <w:sz w:val="24"/>
          <w:lang w:eastAsia="zh-CN"/>
        </w:rPr>
        <w:t>供应商</w:t>
      </w:r>
      <w:r>
        <w:rPr>
          <w:rFonts w:hint="eastAsia" w:ascii="宋体" w:hAnsi="宋体" w:cs="仿宋"/>
          <w:sz w:val="24"/>
          <w:lang w:eastAsia="zh-CN"/>
        </w:rPr>
        <w:t>准备和参加</w:t>
      </w:r>
      <w:r>
        <w:rPr>
          <w:rFonts w:hint="eastAsia" w:cs="仿宋"/>
          <w:sz w:val="24"/>
          <w:lang w:eastAsia="zh-CN"/>
        </w:rPr>
        <w:t>谈判</w:t>
      </w:r>
      <w:r>
        <w:rPr>
          <w:rFonts w:hint="eastAsia" w:ascii="宋体" w:hAnsi="宋体" w:cs="仿宋"/>
          <w:sz w:val="24"/>
          <w:lang w:eastAsia="zh-CN"/>
        </w:rPr>
        <w:t>活动发生的费用自理。</w:t>
      </w:r>
    </w:p>
    <w:p w14:paraId="125DCAD8">
      <w:pPr>
        <w:pStyle w:val="27"/>
        <w:rPr>
          <w:lang w:eastAsia="zh-CN"/>
        </w:rPr>
      </w:pPr>
      <w:bookmarkStart w:id="26" w:name="_Toc506105824"/>
      <w:bookmarkStart w:id="27" w:name="_Toc507936019"/>
      <w:r>
        <w:rPr>
          <w:rFonts w:hint="eastAsia"/>
          <w:lang w:eastAsia="zh-CN"/>
        </w:rPr>
        <w:t>1.6 保密</w:t>
      </w:r>
      <w:bookmarkEnd w:id="26"/>
      <w:bookmarkEnd w:id="27"/>
    </w:p>
    <w:p w14:paraId="333B7CF0">
      <w:pPr>
        <w:spacing w:line="360" w:lineRule="auto"/>
        <w:ind w:firstLine="480" w:firstLineChars="200"/>
        <w:rPr>
          <w:rFonts w:ascii="宋体" w:hAnsi="宋体" w:cs="仿宋"/>
          <w:sz w:val="24"/>
          <w:lang w:eastAsia="zh-CN"/>
        </w:rPr>
      </w:pPr>
      <w:r>
        <w:rPr>
          <w:rFonts w:hint="eastAsia" w:ascii="宋体" w:hAnsi="宋体" w:cs="仿宋"/>
          <w:sz w:val="24"/>
          <w:lang w:eastAsia="zh-CN"/>
        </w:rPr>
        <w:t>参与</w:t>
      </w:r>
      <w:r>
        <w:rPr>
          <w:rFonts w:hint="eastAsia" w:cs="仿宋"/>
          <w:sz w:val="24"/>
          <w:lang w:eastAsia="zh-CN"/>
        </w:rPr>
        <w:t>谈判</w:t>
      </w:r>
      <w:r>
        <w:rPr>
          <w:rFonts w:hint="eastAsia" w:ascii="宋体" w:hAnsi="宋体" w:cs="仿宋"/>
          <w:sz w:val="24"/>
          <w:lang w:eastAsia="zh-CN"/>
        </w:rPr>
        <w:t>活动的各方应对</w:t>
      </w:r>
      <w:r>
        <w:rPr>
          <w:rFonts w:hint="eastAsia" w:cs="仿宋"/>
          <w:sz w:val="24"/>
          <w:lang w:eastAsia="zh-CN"/>
        </w:rPr>
        <w:t>谈判</w:t>
      </w:r>
      <w:r>
        <w:rPr>
          <w:rFonts w:hint="eastAsia" w:ascii="宋体" w:hAnsi="宋体" w:cs="仿宋"/>
          <w:sz w:val="24"/>
          <w:lang w:eastAsia="zh-CN"/>
        </w:rPr>
        <w:t>文件和</w:t>
      </w:r>
      <w:r>
        <w:rPr>
          <w:rFonts w:hint="eastAsia" w:cs="仿宋"/>
          <w:sz w:val="24"/>
          <w:lang w:eastAsia="zh-CN"/>
        </w:rPr>
        <w:t>响应</w:t>
      </w:r>
      <w:r>
        <w:rPr>
          <w:rFonts w:hint="eastAsia" w:ascii="宋体" w:hAnsi="宋体" w:cs="仿宋"/>
          <w:sz w:val="24"/>
          <w:lang w:eastAsia="zh-CN"/>
        </w:rPr>
        <w:t>文件中的商业和技术等秘密保密，违者应对由此造成的后果承担法律责任。</w:t>
      </w:r>
    </w:p>
    <w:p w14:paraId="0C34CD12">
      <w:pPr>
        <w:pStyle w:val="27"/>
        <w:rPr>
          <w:lang w:eastAsia="zh-CN"/>
        </w:rPr>
      </w:pPr>
      <w:bookmarkStart w:id="28" w:name="_Toc506105825"/>
      <w:bookmarkStart w:id="29" w:name="_Toc507936020"/>
      <w:r>
        <w:rPr>
          <w:rFonts w:hint="eastAsia"/>
          <w:lang w:eastAsia="zh-CN"/>
        </w:rPr>
        <w:t>1.7 语言文字</w:t>
      </w:r>
      <w:bookmarkEnd w:id="28"/>
      <w:bookmarkEnd w:id="29"/>
    </w:p>
    <w:p w14:paraId="60ABE2C2">
      <w:pPr>
        <w:spacing w:line="360" w:lineRule="auto"/>
        <w:ind w:firstLine="480" w:firstLineChars="200"/>
        <w:rPr>
          <w:rFonts w:ascii="宋体" w:hAnsi="宋体" w:cs="仿宋"/>
          <w:sz w:val="24"/>
          <w:lang w:eastAsia="zh-CN"/>
        </w:rPr>
      </w:pPr>
      <w:r>
        <w:rPr>
          <w:rFonts w:hint="eastAsia" w:ascii="宋体" w:hAnsi="宋体" w:cs="仿宋"/>
          <w:sz w:val="24"/>
          <w:lang w:eastAsia="zh-CN"/>
        </w:rPr>
        <w:t>除专用术语外，与</w:t>
      </w:r>
      <w:r>
        <w:rPr>
          <w:rFonts w:hint="eastAsia" w:cs="仿宋"/>
          <w:sz w:val="24"/>
          <w:lang w:eastAsia="zh-CN"/>
        </w:rPr>
        <w:t>谈判</w:t>
      </w:r>
      <w:r>
        <w:rPr>
          <w:rFonts w:hint="eastAsia" w:ascii="宋体" w:hAnsi="宋体" w:cs="仿宋"/>
          <w:sz w:val="24"/>
          <w:lang w:eastAsia="zh-CN"/>
        </w:rPr>
        <w:t>有关的语言均使用中文</w:t>
      </w:r>
      <w:r>
        <w:rPr>
          <w:rFonts w:hint="eastAsia" w:cs="仿宋"/>
          <w:sz w:val="24"/>
          <w:lang w:eastAsia="zh-CN"/>
        </w:rPr>
        <w:t>，</w:t>
      </w:r>
      <w:r>
        <w:rPr>
          <w:rFonts w:hint="eastAsia" w:ascii="宋体" w:hAnsi="宋体" w:cs="仿宋"/>
          <w:sz w:val="24"/>
          <w:lang w:eastAsia="zh-CN"/>
        </w:rPr>
        <w:t>必要时专用术语应附有中文注释。</w:t>
      </w:r>
    </w:p>
    <w:p w14:paraId="3D2727A9">
      <w:pPr>
        <w:pStyle w:val="27"/>
        <w:rPr>
          <w:lang w:eastAsia="zh-CN"/>
        </w:rPr>
      </w:pPr>
      <w:bookmarkStart w:id="30" w:name="_Toc507936021"/>
      <w:bookmarkStart w:id="31" w:name="_Toc506105826"/>
      <w:r>
        <w:rPr>
          <w:rFonts w:hint="eastAsia"/>
          <w:lang w:eastAsia="zh-CN"/>
        </w:rPr>
        <w:t>1.8 计量单位</w:t>
      </w:r>
      <w:bookmarkEnd w:id="30"/>
      <w:bookmarkEnd w:id="31"/>
    </w:p>
    <w:p w14:paraId="2229498D">
      <w:pPr>
        <w:spacing w:line="360" w:lineRule="auto"/>
        <w:ind w:firstLine="480" w:firstLineChars="200"/>
        <w:rPr>
          <w:rFonts w:ascii="宋体" w:hAnsi="宋体" w:cs="仿宋"/>
          <w:sz w:val="24"/>
          <w:lang w:eastAsia="zh-CN"/>
        </w:rPr>
      </w:pPr>
      <w:r>
        <w:rPr>
          <w:rFonts w:hint="eastAsia" w:ascii="宋体" w:hAnsi="宋体" w:cs="仿宋"/>
          <w:sz w:val="24"/>
          <w:lang w:eastAsia="zh-CN"/>
        </w:rPr>
        <w:t>所有计量均采用中华人民共和国法定计量单位。</w:t>
      </w:r>
    </w:p>
    <w:p w14:paraId="24F760D2">
      <w:pPr>
        <w:pStyle w:val="27"/>
        <w:rPr>
          <w:lang w:eastAsia="zh-CN"/>
        </w:rPr>
      </w:pPr>
      <w:bookmarkStart w:id="32" w:name="_Toc507936022"/>
      <w:bookmarkStart w:id="33" w:name="_Toc506105827"/>
      <w:r>
        <w:rPr>
          <w:rFonts w:hint="eastAsia"/>
          <w:lang w:eastAsia="zh-CN"/>
        </w:rPr>
        <w:t>1.9 踏勘现场</w:t>
      </w:r>
      <w:bookmarkEnd w:id="32"/>
      <w:bookmarkEnd w:id="33"/>
    </w:p>
    <w:p w14:paraId="414A0D6A">
      <w:pPr>
        <w:spacing w:line="360" w:lineRule="auto"/>
        <w:ind w:firstLine="480" w:firstLineChars="200"/>
        <w:rPr>
          <w:rStyle w:val="29"/>
          <w:lang w:eastAsia="zh-CN"/>
        </w:rPr>
      </w:pPr>
      <w:r>
        <w:rPr>
          <w:rFonts w:hint="eastAsia" w:ascii="宋体" w:hAnsi="宋体" w:cs="仿宋"/>
          <w:sz w:val="24"/>
          <w:lang w:eastAsia="zh-CN"/>
        </w:rPr>
        <w:t>1.9.1详见</w:t>
      </w:r>
      <w:r>
        <w:rPr>
          <w:rFonts w:hint="eastAsia" w:cs="仿宋"/>
          <w:sz w:val="24"/>
          <w:lang w:eastAsia="zh-CN"/>
        </w:rPr>
        <w:t>谈判</w:t>
      </w:r>
      <w:r>
        <w:rPr>
          <w:rFonts w:hint="eastAsia" w:ascii="宋体" w:hAnsi="宋体" w:cs="仿宋"/>
          <w:sz w:val="24"/>
          <w:lang w:eastAsia="zh-CN"/>
        </w:rPr>
        <w:t>须知前附表</w:t>
      </w:r>
    </w:p>
    <w:p w14:paraId="50F16D07">
      <w:pPr>
        <w:pStyle w:val="27"/>
        <w:rPr>
          <w:lang w:eastAsia="zh-CN"/>
        </w:rPr>
      </w:pPr>
      <w:bookmarkStart w:id="34" w:name="_Toc506105828"/>
      <w:bookmarkStart w:id="35" w:name="_Toc507936023"/>
      <w:r>
        <w:rPr>
          <w:rFonts w:hint="eastAsia"/>
          <w:lang w:eastAsia="zh-CN"/>
        </w:rPr>
        <w:t>1.10 谈判预备会</w:t>
      </w:r>
      <w:bookmarkEnd w:id="34"/>
      <w:bookmarkEnd w:id="35"/>
    </w:p>
    <w:p w14:paraId="58F0975C">
      <w:pPr>
        <w:spacing w:line="360" w:lineRule="auto"/>
        <w:ind w:firstLine="480" w:firstLineChars="200"/>
        <w:rPr>
          <w:rFonts w:ascii="宋体" w:hAnsi="宋体" w:cs="仿宋"/>
          <w:sz w:val="24"/>
          <w:lang w:eastAsia="zh-CN"/>
        </w:rPr>
      </w:pPr>
      <w:r>
        <w:rPr>
          <w:rFonts w:hint="eastAsia" w:ascii="宋体" w:hAnsi="宋体" w:cs="仿宋"/>
          <w:sz w:val="24"/>
          <w:lang w:eastAsia="zh-CN"/>
        </w:rPr>
        <w:t>1.10.1</w:t>
      </w:r>
      <w:r>
        <w:rPr>
          <w:rFonts w:hint="eastAsia" w:cs="仿宋"/>
          <w:sz w:val="24"/>
          <w:lang w:eastAsia="zh-CN"/>
        </w:rPr>
        <w:t>采购</w:t>
      </w:r>
      <w:r>
        <w:rPr>
          <w:rFonts w:hint="eastAsia" w:ascii="宋体" w:hAnsi="宋体" w:cs="仿宋"/>
          <w:sz w:val="24"/>
          <w:lang w:eastAsia="zh-CN"/>
        </w:rPr>
        <w:t>人不召开</w:t>
      </w:r>
      <w:r>
        <w:rPr>
          <w:rFonts w:hint="eastAsia" w:cs="仿宋"/>
          <w:sz w:val="24"/>
          <w:lang w:eastAsia="zh-CN"/>
        </w:rPr>
        <w:t>谈判</w:t>
      </w:r>
      <w:r>
        <w:rPr>
          <w:rFonts w:hint="eastAsia" w:ascii="宋体" w:hAnsi="宋体" w:cs="仿宋"/>
          <w:sz w:val="24"/>
          <w:lang w:eastAsia="zh-CN"/>
        </w:rPr>
        <w:t>预备会。</w:t>
      </w:r>
    </w:p>
    <w:p w14:paraId="20EB7AE4">
      <w:pPr>
        <w:pStyle w:val="22"/>
        <w:rPr>
          <w:rStyle w:val="29"/>
          <w:rFonts w:hint="eastAsia"/>
          <w:b w:val="0"/>
          <w:bCs w:val="0"/>
          <w:lang w:eastAsia="zh-CN"/>
        </w:rPr>
      </w:pPr>
      <w:bookmarkStart w:id="36" w:name="_Toc507936024"/>
      <w:r>
        <w:rPr>
          <w:rStyle w:val="29"/>
          <w:rFonts w:hint="eastAsia"/>
          <w:b w:val="0"/>
          <w:bCs w:val="0"/>
          <w:lang w:eastAsia="zh-CN"/>
        </w:rPr>
        <w:t>2.谈判文件</w:t>
      </w:r>
      <w:bookmarkEnd w:id="36"/>
    </w:p>
    <w:p w14:paraId="04D647D6">
      <w:pPr>
        <w:pStyle w:val="27"/>
        <w:rPr>
          <w:rFonts w:hint="eastAsia" w:eastAsia="宋体"/>
          <w:lang w:eastAsia="zh-CN"/>
        </w:rPr>
      </w:pPr>
      <w:bookmarkStart w:id="37" w:name="_Toc507936025"/>
      <w:bookmarkStart w:id="38" w:name="_Toc506105830"/>
      <w:r>
        <w:rPr>
          <w:rFonts w:hint="eastAsia"/>
          <w:lang w:eastAsia="zh-CN"/>
        </w:rPr>
        <w:t>2.1 谈判文件的内容</w:t>
      </w:r>
      <w:bookmarkEnd w:id="37"/>
      <w:bookmarkEnd w:id="38"/>
      <w:r>
        <w:rPr>
          <w:rFonts w:hint="eastAsia"/>
          <w:lang w:eastAsia="zh-CN"/>
        </w:rPr>
        <w:t>和发布</w:t>
      </w:r>
    </w:p>
    <w:p w14:paraId="2B8E8967">
      <w:pPr>
        <w:spacing w:line="360" w:lineRule="auto"/>
        <w:ind w:firstLine="480" w:firstLineChars="200"/>
        <w:rPr>
          <w:rFonts w:ascii="宋体" w:hAnsi="宋体" w:cs="仿宋"/>
          <w:sz w:val="24"/>
          <w:lang w:eastAsia="zh-CN"/>
        </w:rPr>
      </w:pPr>
      <w:r>
        <w:rPr>
          <w:rFonts w:hint="eastAsia" w:ascii="宋体" w:hAnsi="宋体" w:cs="仿宋"/>
          <w:sz w:val="24"/>
          <w:lang w:eastAsia="zh-CN"/>
        </w:rPr>
        <w:t>2.1.1</w:t>
      </w:r>
      <w:r>
        <w:rPr>
          <w:rFonts w:hint="eastAsia" w:cs="仿宋"/>
          <w:sz w:val="24"/>
          <w:lang w:eastAsia="zh-CN"/>
        </w:rPr>
        <w:t>谈判</w:t>
      </w:r>
      <w:r>
        <w:rPr>
          <w:rFonts w:hint="eastAsia" w:ascii="宋体" w:hAnsi="宋体" w:cs="仿宋"/>
          <w:sz w:val="24"/>
          <w:lang w:eastAsia="zh-CN"/>
        </w:rPr>
        <w:t>文件包括：</w:t>
      </w:r>
    </w:p>
    <w:p w14:paraId="1639F1CA">
      <w:pPr>
        <w:spacing w:line="360" w:lineRule="auto"/>
        <w:ind w:firstLine="480" w:firstLineChars="200"/>
        <w:rPr>
          <w:rFonts w:ascii="宋体" w:hAnsi="宋体" w:cs="仿宋"/>
          <w:sz w:val="24"/>
          <w:lang w:eastAsia="zh-CN"/>
        </w:rPr>
      </w:pPr>
      <w:r>
        <w:rPr>
          <w:rFonts w:hint="eastAsia" w:ascii="宋体" w:hAnsi="宋体" w:cs="仿宋"/>
          <w:sz w:val="24"/>
          <w:lang w:eastAsia="zh-CN"/>
        </w:rPr>
        <w:t>（1）</w:t>
      </w:r>
      <w:r>
        <w:rPr>
          <w:rFonts w:hint="eastAsia" w:cs="仿宋"/>
          <w:sz w:val="24"/>
          <w:lang w:eastAsia="zh-CN"/>
        </w:rPr>
        <w:t>谈判公告</w:t>
      </w:r>
    </w:p>
    <w:p w14:paraId="47FD7CCB">
      <w:pPr>
        <w:spacing w:line="360" w:lineRule="auto"/>
        <w:ind w:firstLine="480" w:firstLineChars="200"/>
        <w:rPr>
          <w:rFonts w:ascii="宋体" w:hAnsi="宋体" w:cs="仿宋"/>
          <w:sz w:val="24"/>
          <w:lang w:eastAsia="zh-CN"/>
        </w:rPr>
      </w:pPr>
      <w:r>
        <w:rPr>
          <w:rFonts w:hint="eastAsia" w:ascii="宋体" w:hAnsi="宋体" w:cs="仿宋"/>
          <w:sz w:val="24"/>
          <w:lang w:eastAsia="zh-CN"/>
        </w:rPr>
        <w:t>（2）</w:t>
      </w:r>
      <w:r>
        <w:rPr>
          <w:rFonts w:hint="eastAsia" w:cs="仿宋"/>
          <w:sz w:val="24"/>
          <w:lang w:eastAsia="zh-CN"/>
        </w:rPr>
        <w:t>谈判</w:t>
      </w:r>
      <w:r>
        <w:rPr>
          <w:rFonts w:hint="eastAsia" w:ascii="宋体" w:hAnsi="宋体" w:cs="仿宋"/>
          <w:sz w:val="24"/>
          <w:lang w:eastAsia="zh-CN"/>
        </w:rPr>
        <w:t>须知</w:t>
      </w:r>
    </w:p>
    <w:p w14:paraId="62A94A3E">
      <w:pPr>
        <w:spacing w:line="360" w:lineRule="auto"/>
        <w:ind w:firstLine="480" w:firstLineChars="200"/>
        <w:rPr>
          <w:rFonts w:ascii="宋体" w:hAnsi="宋体" w:cs="仿宋"/>
          <w:sz w:val="24"/>
          <w:lang w:eastAsia="zh-CN"/>
        </w:rPr>
      </w:pPr>
      <w:r>
        <w:rPr>
          <w:rFonts w:hint="eastAsia" w:ascii="宋体" w:hAnsi="宋体" w:cs="仿宋"/>
          <w:sz w:val="24"/>
          <w:lang w:eastAsia="zh-CN"/>
        </w:rPr>
        <w:t>（3）评</w:t>
      </w:r>
      <w:r>
        <w:rPr>
          <w:rFonts w:hint="eastAsia" w:cs="仿宋"/>
          <w:sz w:val="24"/>
          <w:lang w:eastAsia="zh-CN"/>
        </w:rPr>
        <w:t>审</w:t>
      </w:r>
      <w:r>
        <w:rPr>
          <w:rFonts w:hint="eastAsia" w:ascii="宋体" w:hAnsi="宋体" w:cs="仿宋"/>
          <w:sz w:val="24"/>
          <w:lang w:eastAsia="zh-CN"/>
        </w:rPr>
        <w:t>办法</w:t>
      </w:r>
    </w:p>
    <w:p w14:paraId="139205D7">
      <w:pPr>
        <w:spacing w:line="360" w:lineRule="auto"/>
        <w:ind w:firstLine="480" w:firstLineChars="200"/>
        <w:rPr>
          <w:rFonts w:ascii="宋体" w:hAnsi="宋体" w:cs="仿宋"/>
          <w:sz w:val="24"/>
          <w:lang w:eastAsia="zh-CN"/>
        </w:rPr>
      </w:pPr>
      <w:r>
        <w:rPr>
          <w:rFonts w:hint="eastAsia" w:ascii="宋体" w:hAnsi="宋体" w:cs="仿宋"/>
          <w:sz w:val="24"/>
          <w:lang w:eastAsia="zh-CN"/>
        </w:rPr>
        <w:t>（4）合同及附件</w:t>
      </w:r>
    </w:p>
    <w:p w14:paraId="63F6D05C">
      <w:pPr>
        <w:spacing w:line="360" w:lineRule="auto"/>
        <w:ind w:firstLine="480" w:firstLineChars="200"/>
        <w:rPr>
          <w:rFonts w:ascii="宋体" w:hAnsi="宋体" w:cs="仿宋"/>
          <w:sz w:val="24"/>
          <w:lang w:eastAsia="zh-CN"/>
        </w:rPr>
      </w:pPr>
      <w:r>
        <w:rPr>
          <w:rFonts w:hint="eastAsia" w:ascii="宋体" w:hAnsi="宋体" w:cs="仿宋"/>
          <w:sz w:val="24"/>
          <w:lang w:eastAsia="zh-CN"/>
        </w:rPr>
        <w:t>（5）</w:t>
      </w:r>
      <w:r>
        <w:rPr>
          <w:rFonts w:hint="eastAsia" w:cs="仿宋"/>
          <w:sz w:val="24"/>
          <w:lang w:eastAsia="zh-CN"/>
        </w:rPr>
        <w:t>响应</w:t>
      </w:r>
      <w:r>
        <w:rPr>
          <w:rFonts w:hint="eastAsia" w:ascii="宋体" w:hAnsi="宋体" w:cs="仿宋"/>
          <w:sz w:val="24"/>
          <w:lang w:eastAsia="zh-CN"/>
        </w:rPr>
        <w:t>文件格式及内容</w:t>
      </w:r>
    </w:p>
    <w:p w14:paraId="0EA44FA9">
      <w:pPr>
        <w:spacing w:line="360" w:lineRule="auto"/>
        <w:ind w:firstLine="480" w:firstLineChars="200"/>
        <w:rPr>
          <w:rFonts w:ascii="宋体" w:hAnsi="宋体" w:cs="仿宋"/>
          <w:sz w:val="24"/>
          <w:lang w:eastAsia="zh-CN"/>
        </w:rPr>
      </w:pPr>
      <w:r>
        <w:rPr>
          <w:rFonts w:hint="eastAsia" w:ascii="宋体" w:hAnsi="宋体" w:cs="仿宋"/>
          <w:sz w:val="24"/>
          <w:lang w:eastAsia="zh-CN"/>
        </w:rPr>
        <w:t>根据本章第1.10款、第2.2款和第2.3款对</w:t>
      </w:r>
      <w:r>
        <w:rPr>
          <w:rFonts w:hint="eastAsia" w:cs="仿宋"/>
          <w:sz w:val="24"/>
          <w:lang w:eastAsia="zh-CN"/>
        </w:rPr>
        <w:t>谈判</w:t>
      </w:r>
      <w:r>
        <w:rPr>
          <w:rFonts w:hint="eastAsia" w:ascii="宋体" w:hAnsi="宋体" w:cs="仿宋"/>
          <w:sz w:val="24"/>
          <w:lang w:eastAsia="zh-CN"/>
        </w:rPr>
        <w:t>文件所作的澄清、修改，构成</w:t>
      </w:r>
      <w:r>
        <w:rPr>
          <w:rFonts w:hint="eastAsia" w:cs="仿宋"/>
          <w:sz w:val="24"/>
          <w:lang w:eastAsia="zh-CN"/>
        </w:rPr>
        <w:t>谈判</w:t>
      </w:r>
      <w:r>
        <w:rPr>
          <w:rFonts w:hint="eastAsia" w:ascii="宋体" w:hAnsi="宋体" w:cs="仿宋"/>
          <w:sz w:val="24"/>
          <w:lang w:eastAsia="zh-CN"/>
        </w:rPr>
        <w:t>文件的组成部分。</w:t>
      </w:r>
    </w:p>
    <w:p w14:paraId="5090D1FF">
      <w:pPr>
        <w:spacing w:line="360" w:lineRule="auto"/>
        <w:ind w:firstLine="480" w:firstLineChars="200"/>
        <w:rPr>
          <w:rFonts w:ascii="宋体" w:hAnsi="宋体" w:cs="仿宋"/>
          <w:sz w:val="24"/>
          <w:lang w:eastAsia="zh-CN"/>
        </w:rPr>
      </w:pPr>
      <w:r>
        <w:rPr>
          <w:rFonts w:hint="eastAsia" w:ascii="宋体" w:hAnsi="宋体" w:cs="仿宋"/>
          <w:sz w:val="24"/>
          <w:lang w:eastAsia="zh-CN"/>
        </w:rPr>
        <w:t>2.1.2若</w:t>
      </w:r>
      <w:r>
        <w:rPr>
          <w:rFonts w:hint="eastAsia" w:cs="仿宋"/>
          <w:sz w:val="24"/>
          <w:lang w:eastAsia="zh-CN"/>
        </w:rPr>
        <w:t>谈判</w:t>
      </w:r>
      <w:r>
        <w:rPr>
          <w:rFonts w:hint="eastAsia" w:ascii="宋体" w:hAnsi="宋体" w:cs="仿宋"/>
          <w:sz w:val="24"/>
          <w:lang w:eastAsia="zh-CN"/>
        </w:rPr>
        <w:t>文件中不同章节对同一内容叙述有差异的，性能、参数以技术要求为准；</w:t>
      </w:r>
      <w:r>
        <w:rPr>
          <w:rFonts w:hint="eastAsia" w:cs="仿宋"/>
          <w:sz w:val="24"/>
          <w:lang w:eastAsia="zh-CN"/>
        </w:rPr>
        <w:t>供应商</w:t>
      </w:r>
      <w:r>
        <w:rPr>
          <w:rFonts w:hint="eastAsia" w:ascii="宋体" w:hAnsi="宋体" w:cs="仿宋"/>
          <w:sz w:val="24"/>
          <w:lang w:eastAsia="zh-CN"/>
        </w:rPr>
        <w:t>资格要求、交货期、交货地点、</w:t>
      </w:r>
      <w:r>
        <w:rPr>
          <w:rFonts w:hint="eastAsia" w:cs="仿宋"/>
          <w:sz w:val="24"/>
          <w:lang w:eastAsia="zh-CN"/>
        </w:rPr>
        <w:t>质保期</w:t>
      </w:r>
      <w:r>
        <w:rPr>
          <w:rFonts w:hint="eastAsia" w:ascii="宋体" w:hAnsi="宋体" w:cs="仿宋"/>
          <w:sz w:val="24"/>
          <w:lang w:eastAsia="zh-CN"/>
        </w:rPr>
        <w:t>以</w:t>
      </w:r>
      <w:r>
        <w:rPr>
          <w:rFonts w:hint="eastAsia" w:cs="宋体"/>
          <w:sz w:val="24"/>
          <w:lang w:eastAsia="zh-CN"/>
        </w:rPr>
        <w:t>谈判须知前附表</w:t>
      </w:r>
      <w:r>
        <w:rPr>
          <w:rFonts w:hint="eastAsia" w:ascii="宋体" w:hAnsi="宋体" w:cs="仿宋"/>
          <w:sz w:val="24"/>
          <w:lang w:eastAsia="zh-CN"/>
        </w:rPr>
        <w:t>为准。</w:t>
      </w:r>
    </w:p>
    <w:p w14:paraId="5ED5080A">
      <w:pPr>
        <w:pStyle w:val="3"/>
        <w:kinsoku/>
        <w:autoSpaceDE/>
        <w:autoSpaceDN/>
        <w:adjustRightInd/>
        <w:snapToGrid/>
        <w:spacing w:line="360" w:lineRule="auto"/>
        <w:ind w:left="0" w:leftChars="0" w:firstLine="480"/>
        <w:textAlignment w:val="auto"/>
        <w:rPr>
          <w:rFonts w:hint="eastAsia" w:ascii="宋体" w:hAnsi="宋体" w:eastAsia="宋体" w:cs="仿宋"/>
          <w:sz w:val="24"/>
          <w:szCs w:val="24"/>
          <w:lang w:eastAsia="zh-CN"/>
        </w:rPr>
      </w:pPr>
      <w:r>
        <w:rPr>
          <w:rFonts w:hint="eastAsia" w:ascii="宋体" w:hAnsi="宋体" w:eastAsia="宋体" w:cs="仿宋"/>
          <w:sz w:val="24"/>
          <w:szCs w:val="24"/>
          <w:lang w:eastAsia="zh-CN"/>
        </w:rPr>
        <w:t>2.1.3本谈判文件在济钢集团有限公司阳光购销平台（网址：</w:t>
      </w:r>
      <w:r>
        <w:fldChar w:fldCharType="begin"/>
      </w:r>
      <w:r>
        <w:rPr>
          <w:lang w:eastAsia="zh-CN"/>
        </w:rPr>
        <w:instrText xml:space="preserve">HYPERLINK "http://bidding.jigang.com.cn"</w:instrText>
      </w:r>
      <w:r>
        <w:fldChar w:fldCharType="separate"/>
      </w:r>
      <w:r>
        <w:rPr>
          <w:rFonts w:hint="eastAsia" w:ascii="宋体" w:hAnsi="宋体" w:eastAsia="宋体" w:cs="仿宋"/>
          <w:sz w:val="24"/>
          <w:szCs w:val="24"/>
          <w:lang w:eastAsia="zh-CN"/>
        </w:rPr>
        <w:t>http://bidding.jigang.com.cn</w:t>
      </w:r>
      <w:r>
        <w:fldChar w:fldCharType="end"/>
      </w:r>
      <w:r>
        <w:rPr>
          <w:rFonts w:hint="eastAsia" w:ascii="宋体" w:hAnsi="宋体" w:eastAsia="宋体" w:cs="仿宋"/>
          <w:sz w:val="24"/>
          <w:szCs w:val="24"/>
          <w:lang w:eastAsia="zh-CN"/>
        </w:rPr>
        <w:t>/） 上发布。除上述媒介以外的媒介转载或发布与本次谈判相关信息的，采购人不承担任何责任并保留追究相关方责任的权利。</w:t>
      </w:r>
    </w:p>
    <w:p w14:paraId="2DA250C2">
      <w:pPr>
        <w:pStyle w:val="27"/>
        <w:rPr>
          <w:lang w:eastAsia="zh-CN"/>
        </w:rPr>
      </w:pPr>
      <w:bookmarkStart w:id="39" w:name="_Toc507936026"/>
      <w:bookmarkStart w:id="40" w:name="_Toc506105831"/>
      <w:r>
        <w:rPr>
          <w:rFonts w:hint="eastAsia"/>
          <w:lang w:eastAsia="zh-CN"/>
        </w:rPr>
        <w:t>2.2 谈判文件的澄清</w:t>
      </w:r>
      <w:bookmarkEnd w:id="39"/>
      <w:bookmarkEnd w:id="40"/>
    </w:p>
    <w:p w14:paraId="4700F63F">
      <w:pPr>
        <w:spacing w:line="360" w:lineRule="auto"/>
        <w:ind w:firstLine="480" w:firstLineChars="200"/>
        <w:rPr>
          <w:rFonts w:ascii="宋体" w:hAnsi="宋体"/>
          <w:sz w:val="24"/>
          <w:lang w:eastAsia="zh-CN"/>
        </w:rPr>
      </w:pPr>
      <w:bookmarkStart w:id="41" w:name="_Toc507936027"/>
      <w:bookmarkStart w:id="42" w:name="_Toc506105832"/>
      <w:r>
        <w:rPr>
          <w:rFonts w:hint="eastAsia" w:ascii="宋体" w:hAnsi="宋体"/>
          <w:sz w:val="24"/>
          <w:lang w:eastAsia="zh-CN"/>
        </w:rPr>
        <w:t>2.2.1 供应商应仔细阅读和检查竞争性谈判文件的全部内容。如发现缺页或附件不全，应及时向采购人或代理机构提出，以便补齐。如有疑问</w:t>
      </w:r>
      <w:r>
        <w:rPr>
          <w:rFonts w:hint="eastAsia"/>
          <w:sz w:val="24"/>
          <w:lang w:eastAsia="zh-CN"/>
        </w:rPr>
        <w:t>、异议</w:t>
      </w:r>
      <w:r>
        <w:rPr>
          <w:rFonts w:hint="eastAsia" w:ascii="宋体" w:hAnsi="宋体"/>
          <w:sz w:val="24"/>
          <w:lang w:eastAsia="zh-CN"/>
        </w:rPr>
        <w:t>，应在</w:t>
      </w:r>
      <w:r>
        <w:rPr>
          <w:rFonts w:hint="eastAsia" w:cs="仿宋"/>
          <w:sz w:val="24"/>
          <w:lang w:eastAsia="zh-CN"/>
        </w:rPr>
        <w:t>谈判截止</w:t>
      </w:r>
      <w:r>
        <w:rPr>
          <w:rFonts w:hint="eastAsia" w:ascii="宋体" w:hAnsi="宋体" w:cs="仿宋"/>
          <w:sz w:val="24"/>
          <w:lang w:eastAsia="zh-CN"/>
        </w:rPr>
        <w:t>时间</w:t>
      </w:r>
      <w:r>
        <w:rPr>
          <w:rFonts w:hint="eastAsia" w:cs="仿宋"/>
          <w:color w:val="auto"/>
          <w:sz w:val="24"/>
          <w:lang w:eastAsia="zh-CN"/>
        </w:rPr>
        <w:t>2</w:t>
      </w:r>
      <w:r>
        <w:rPr>
          <w:rFonts w:hint="eastAsia" w:ascii="宋体" w:hAnsi="宋体" w:cs="仿宋"/>
          <w:sz w:val="24"/>
          <w:lang w:eastAsia="zh-CN"/>
        </w:rPr>
        <w:t>天前</w:t>
      </w:r>
      <w:r>
        <w:rPr>
          <w:rFonts w:hint="eastAsia" w:ascii="宋体" w:hAnsi="宋体"/>
          <w:sz w:val="24"/>
          <w:lang w:eastAsia="zh-CN"/>
        </w:rPr>
        <w:t>以书面形式要求采购人对竞争性谈判文件予以澄清。</w:t>
      </w:r>
    </w:p>
    <w:p w14:paraId="0AF3AB94">
      <w:pPr>
        <w:spacing w:line="360" w:lineRule="auto"/>
        <w:ind w:firstLine="480" w:firstLineChars="200"/>
        <w:rPr>
          <w:rFonts w:ascii="宋体" w:hAnsi="宋体"/>
          <w:sz w:val="24"/>
          <w:lang w:eastAsia="zh-CN"/>
        </w:rPr>
      </w:pPr>
      <w:r>
        <w:rPr>
          <w:rFonts w:hint="eastAsia" w:ascii="宋体" w:hAnsi="宋体"/>
          <w:sz w:val="24"/>
          <w:lang w:eastAsia="zh-CN"/>
        </w:rPr>
        <w:t>2.2.2 竞争性谈判文件的澄清将在供应商须知前附表规定的报价截止时间前以书面形式发给所有购买竞争性谈判文件的供应商，但不指明澄清问题的来源。如果澄清发出的时间距报价截止时间不足，相应延长报价截止时间。</w:t>
      </w:r>
    </w:p>
    <w:p w14:paraId="4109F454">
      <w:pPr>
        <w:spacing w:line="360" w:lineRule="auto"/>
        <w:ind w:firstLine="480" w:firstLineChars="200"/>
        <w:rPr>
          <w:rFonts w:ascii="宋体" w:hAnsi="宋体"/>
          <w:sz w:val="24"/>
          <w:lang w:eastAsia="zh-CN"/>
        </w:rPr>
      </w:pPr>
      <w:r>
        <w:rPr>
          <w:rFonts w:hint="eastAsia" w:ascii="宋体" w:hAnsi="宋体"/>
          <w:sz w:val="24"/>
          <w:lang w:eastAsia="zh-CN"/>
        </w:rPr>
        <w:t>2.2.3 供应商在收到澄清后，应在供应商须知前附表规定的时间内以书面形式通知采购人/代理机构，确认已收到该澄清。</w:t>
      </w:r>
    </w:p>
    <w:p w14:paraId="35EF10C2">
      <w:pPr>
        <w:pStyle w:val="27"/>
        <w:rPr>
          <w:lang w:eastAsia="zh-CN"/>
        </w:rPr>
      </w:pPr>
      <w:r>
        <w:rPr>
          <w:rFonts w:hint="eastAsia"/>
          <w:lang w:eastAsia="zh-CN"/>
        </w:rPr>
        <w:t xml:space="preserve">2.3 </w:t>
      </w:r>
      <w:bookmarkEnd w:id="41"/>
      <w:bookmarkEnd w:id="42"/>
      <w:r>
        <w:rPr>
          <w:rFonts w:hint="eastAsia" w:ascii="Arial" w:hAnsi="Arial" w:cs="Times New Roman"/>
          <w:b w:val="0"/>
          <w:bCs w:val="0"/>
          <w:lang w:eastAsia="zh-CN"/>
        </w:rPr>
        <w:t>竞争性谈判文件的修改</w:t>
      </w:r>
    </w:p>
    <w:p w14:paraId="2F62BEF0">
      <w:pPr>
        <w:spacing w:line="360" w:lineRule="auto"/>
        <w:ind w:firstLine="480" w:firstLineChars="200"/>
        <w:rPr>
          <w:rFonts w:ascii="宋体" w:hAnsi="宋体"/>
          <w:sz w:val="24"/>
          <w:lang w:eastAsia="zh-CN"/>
        </w:rPr>
      </w:pPr>
      <w:r>
        <w:rPr>
          <w:rFonts w:hint="eastAsia" w:ascii="宋体" w:hAnsi="宋体"/>
          <w:sz w:val="24"/>
          <w:lang w:eastAsia="zh-CN"/>
        </w:rPr>
        <w:t>2.3.1 在报价截止时间前，采购人可以书面形式修改竞争性谈判文件，并通知所有已购买竞争性谈判文件的供应商。</w:t>
      </w:r>
    </w:p>
    <w:p w14:paraId="7A43DC91">
      <w:pPr>
        <w:spacing w:line="360" w:lineRule="auto"/>
        <w:ind w:firstLine="480" w:firstLineChars="200"/>
        <w:rPr>
          <w:rFonts w:ascii="宋体" w:hAnsi="宋体" w:cs="仿宋"/>
          <w:sz w:val="24"/>
          <w:lang w:eastAsia="zh-CN"/>
        </w:rPr>
      </w:pPr>
      <w:r>
        <w:rPr>
          <w:rFonts w:hint="eastAsia" w:ascii="宋体" w:hAnsi="宋体"/>
          <w:sz w:val="24"/>
          <w:lang w:eastAsia="zh-CN"/>
        </w:rPr>
        <w:t>2.3.2 供应商收到修改内容后，应在供应商须知前附表规定的时间内以书面形式通知采购人/代理机构，确认已收到该修改。</w:t>
      </w:r>
    </w:p>
    <w:p w14:paraId="1871AFA6">
      <w:pPr>
        <w:spacing w:line="360" w:lineRule="auto"/>
        <w:jc w:val="center"/>
        <w:rPr>
          <w:rStyle w:val="29"/>
          <w:rFonts w:ascii="宋体" w:hAnsi="宋体"/>
          <w:lang w:eastAsia="zh-CN"/>
        </w:rPr>
      </w:pPr>
      <w:r>
        <w:rPr>
          <w:rStyle w:val="29"/>
          <w:rFonts w:hint="eastAsia" w:ascii="宋体" w:hAnsi="宋体"/>
          <w:lang w:eastAsia="zh-CN"/>
        </w:rPr>
        <w:t>3、</w:t>
      </w:r>
      <w:r>
        <w:rPr>
          <w:rStyle w:val="29"/>
          <w:rFonts w:hint="eastAsia" w:eastAsia="宋体"/>
          <w:lang w:eastAsia="zh-CN"/>
        </w:rPr>
        <w:t>响应</w:t>
      </w:r>
      <w:r>
        <w:rPr>
          <w:rStyle w:val="29"/>
          <w:rFonts w:hint="eastAsia" w:ascii="宋体" w:hAnsi="宋体"/>
          <w:lang w:eastAsia="zh-CN"/>
        </w:rPr>
        <w:t>文件</w:t>
      </w:r>
    </w:p>
    <w:p w14:paraId="5C6C2847">
      <w:pPr>
        <w:pStyle w:val="27"/>
        <w:rPr>
          <w:lang w:eastAsia="zh-CN"/>
        </w:rPr>
      </w:pPr>
      <w:bookmarkStart w:id="43" w:name="_Toc507936029"/>
      <w:bookmarkStart w:id="44" w:name="_Toc506105835"/>
      <w:r>
        <w:rPr>
          <w:rFonts w:hint="eastAsia"/>
          <w:lang w:eastAsia="zh-CN"/>
        </w:rPr>
        <w:t>3.1 响应文件的组成</w:t>
      </w:r>
      <w:bookmarkEnd w:id="43"/>
      <w:bookmarkEnd w:id="44"/>
    </w:p>
    <w:p w14:paraId="3C5215BE">
      <w:pPr>
        <w:pStyle w:val="27"/>
        <w:tabs>
          <w:tab w:val="clear" w:pos="851"/>
        </w:tabs>
        <w:ind w:left="491" w:hanging="491"/>
        <w:rPr>
          <w:rFonts w:ascii="Arial" w:hAnsi="Arial" w:cs="Times New Roman"/>
          <w:b w:val="0"/>
          <w:bCs w:val="0"/>
          <w:lang w:eastAsia="zh-CN"/>
        </w:rPr>
      </w:pPr>
      <w:r>
        <w:rPr>
          <w:rFonts w:hint="eastAsia" w:ascii="Arial" w:hAnsi="Arial" w:cs="Times New Roman"/>
          <w:b w:val="0"/>
          <w:bCs w:val="0"/>
          <w:lang w:eastAsia="zh-CN"/>
        </w:rPr>
        <w:t xml:space="preserve">3.1 </w:t>
      </w:r>
      <w:r>
        <w:rPr>
          <w:rFonts w:hint="eastAsia" w:eastAsia="宋体" w:cs="宋体"/>
          <w:b w:val="0"/>
          <w:bCs w:val="0"/>
          <w:szCs w:val="24"/>
          <w:lang w:eastAsia="zh-CN"/>
        </w:rPr>
        <w:t>供应商在谈判过程中作出的符合法律法规和谈判文件规定的澄清确认，构成响应文件的组成部分。</w:t>
      </w:r>
    </w:p>
    <w:p w14:paraId="3418EDB8">
      <w:pPr>
        <w:pStyle w:val="27"/>
        <w:rPr>
          <w:lang w:eastAsia="zh-CN"/>
        </w:rPr>
      </w:pPr>
      <w:bookmarkStart w:id="45" w:name="_Toc506105836"/>
      <w:bookmarkStart w:id="46" w:name="_Toc507936030"/>
      <w:bookmarkStart w:id="47" w:name="_Toc406766394"/>
      <w:r>
        <w:rPr>
          <w:rFonts w:hint="eastAsia"/>
          <w:lang w:eastAsia="zh-CN"/>
        </w:rPr>
        <w:t>3.2 报价</w:t>
      </w:r>
      <w:bookmarkEnd w:id="45"/>
      <w:bookmarkEnd w:id="46"/>
      <w:bookmarkEnd w:id="47"/>
    </w:p>
    <w:p w14:paraId="3B648190">
      <w:pPr>
        <w:spacing w:line="360" w:lineRule="auto"/>
        <w:ind w:firstLine="480" w:firstLineChars="200"/>
        <w:rPr>
          <w:rFonts w:hint="eastAsia" w:ascii="宋体" w:hAnsi="宋体" w:eastAsia="宋体" w:cs="仿宋"/>
          <w:sz w:val="24"/>
          <w:lang w:eastAsia="zh-CN"/>
        </w:rPr>
      </w:pPr>
      <w:r>
        <w:rPr>
          <w:rFonts w:hint="eastAsia" w:ascii="宋体" w:hAnsi="宋体" w:cs="仿宋"/>
          <w:sz w:val="24"/>
          <w:lang w:eastAsia="zh-CN"/>
        </w:rPr>
        <w:t xml:space="preserve">3.2.1 </w:t>
      </w:r>
      <w:r>
        <w:rPr>
          <w:rFonts w:hint="eastAsia" w:ascii="宋体" w:hAnsi="宋体" w:cs="宋体"/>
          <w:color w:val="auto"/>
          <w:sz w:val="24"/>
          <w:lang w:eastAsia="zh-CN"/>
        </w:rPr>
        <w:t>报价币种</w:t>
      </w:r>
      <w:r>
        <w:rPr>
          <w:rFonts w:hint="eastAsia" w:cs="宋体"/>
          <w:color w:val="auto"/>
          <w:sz w:val="24"/>
          <w:lang w:eastAsia="zh-CN"/>
        </w:rPr>
        <w:t>：</w:t>
      </w:r>
      <w:r>
        <w:rPr>
          <w:rFonts w:hint="eastAsia" w:ascii="宋体" w:hAnsi="宋体" w:cs="宋体"/>
          <w:color w:val="auto"/>
          <w:sz w:val="24"/>
          <w:lang w:eastAsia="zh-CN"/>
        </w:rPr>
        <w:t>人民币</w:t>
      </w:r>
      <w:r>
        <w:rPr>
          <w:rFonts w:hint="eastAsia" w:cs="宋体"/>
          <w:color w:val="auto"/>
          <w:sz w:val="24"/>
          <w:lang w:eastAsia="zh-CN"/>
        </w:rPr>
        <w:t>；</w:t>
      </w:r>
      <w:r>
        <w:rPr>
          <w:rFonts w:hint="eastAsia" w:cs="宋体"/>
          <w:sz w:val="24"/>
          <w:lang w:eastAsia="zh-CN"/>
        </w:rPr>
        <w:t>报价</w:t>
      </w:r>
      <w:r>
        <w:rPr>
          <w:rFonts w:hint="eastAsia" w:ascii="宋体" w:hAnsi="宋体" w:cs="宋体"/>
          <w:sz w:val="24"/>
          <w:lang w:eastAsia="zh-CN"/>
        </w:rPr>
        <w:t>为</w:t>
      </w:r>
      <w:r>
        <w:rPr>
          <w:rFonts w:hint="eastAsia" w:cs="宋体"/>
          <w:sz w:val="24"/>
          <w:lang w:eastAsia="zh-CN"/>
        </w:rPr>
        <w:t>含</w:t>
      </w:r>
      <w:r>
        <w:rPr>
          <w:rFonts w:hint="eastAsia" w:ascii="宋体" w:hAnsi="宋体" w:cs="宋体"/>
          <w:sz w:val="24"/>
          <w:lang w:eastAsia="zh-CN"/>
        </w:rPr>
        <w:t>增值税价格</w:t>
      </w:r>
      <w:r>
        <w:rPr>
          <w:rFonts w:hint="eastAsia" w:cs="宋体"/>
          <w:sz w:val="24"/>
          <w:lang w:eastAsia="zh-CN"/>
        </w:rPr>
        <w:t>。</w:t>
      </w:r>
    </w:p>
    <w:p w14:paraId="19CB435D">
      <w:pPr>
        <w:spacing w:line="360" w:lineRule="auto"/>
        <w:ind w:firstLine="480" w:firstLineChars="200"/>
        <w:rPr>
          <w:rFonts w:ascii="宋体" w:hAnsi="宋体" w:cs="仿宋"/>
          <w:sz w:val="24"/>
          <w:lang w:eastAsia="zh-CN"/>
        </w:rPr>
      </w:pPr>
      <w:r>
        <w:rPr>
          <w:rFonts w:hint="eastAsia" w:ascii="宋体" w:hAnsi="宋体" w:cs="仿宋"/>
          <w:sz w:val="24"/>
          <w:lang w:eastAsia="zh-CN"/>
        </w:rPr>
        <w:t xml:space="preserve">3.2.2 </w:t>
      </w:r>
      <w:r>
        <w:rPr>
          <w:rFonts w:hint="eastAsia" w:cs="仿宋"/>
          <w:sz w:val="24"/>
          <w:lang w:eastAsia="zh-CN"/>
        </w:rPr>
        <w:t>供应商</w:t>
      </w:r>
      <w:r>
        <w:rPr>
          <w:rFonts w:hint="eastAsia" w:ascii="宋体" w:hAnsi="宋体" w:cs="仿宋"/>
          <w:sz w:val="24"/>
          <w:lang w:eastAsia="zh-CN"/>
        </w:rPr>
        <w:t>在</w:t>
      </w:r>
      <w:r>
        <w:rPr>
          <w:rFonts w:hint="eastAsia" w:cs="仿宋"/>
          <w:sz w:val="24"/>
          <w:lang w:eastAsia="zh-CN"/>
        </w:rPr>
        <w:t>谈判开始</w:t>
      </w:r>
      <w:r>
        <w:rPr>
          <w:rFonts w:hint="eastAsia" w:ascii="宋体" w:hAnsi="宋体" w:cs="仿宋"/>
          <w:sz w:val="24"/>
          <w:lang w:eastAsia="zh-CN"/>
        </w:rPr>
        <w:t>时间前修改</w:t>
      </w:r>
      <w:r>
        <w:rPr>
          <w:rFonts w:hint="eastAsia" w:cs="仿宋"/>
          <w:sz w:val="24"/>
          <w:lang w:eastAsia="zh-CN"/>
        </w:rPr>
        <w:t>报价</w:t>
      </w:r>
      <w:r>
        <w:rPr>
          <w:rFonts w:hint="eastAsia" w:ascii="宋体" w:hAnsi="宋体" w:cs="仿宋"/>
          <w:sz w:val="24"/>
          <w:lang w:eastAsia="zh-CN"/>
        </w:rPr>
        <w:t>函中的总报价，应同时修改“报价组成表”中的相应价格。此修改须符合本章第4.3款的有关规定。　</w:t>
      </w:r>
    </w:p>
    <w:p w14:paraId="25E3F64B">
      <w:pPr>
        <w:pStyle w:val="27"/>
        <w:rPr>
          <w:lang w:eastAsia="zh-CN"/>
        </w:rPr>
      </w:pPr>
      <w:bookmarkStart w:id="48" w:name="_Toc507936031"/>
      <w:bookmarkStart w:id="49" w:name="_Toc506105837"/>
      <w:bookmarkStart w:id="50" w:name="_Toc406766395"/>
      <w:r>
        <w:rPr>
          <w:rFonts w:hint="eastAsia"/>
          <w:lang w:eastAsia="zh-CN"/>
        </w:rPr>
        <w:t>3.3 谈判有效期</w:t>
      </w:r>
      <w:bookmarkEnd w:id="48"/>
      <w:bookmarkEnd w:id="49"/>
      <w:bookmarkEnd w:id="50"/>
    </w:p>
    <w:p w14:paraId="356C54DE">
      <w:pPr>
        <w:spacing w:line="360" w:lineRule="auto"/>
        <w:ind w:firstLine="480" w:firstLineChars="200"/>
        <w:rPr>
          <w:rFonts w:ascii="宋体" w:hAnsi="宋体"/>
          <w:sz w:val="24"/>
          <w:lang w:eastAsia="zh-CN"/>
        </w:rPr>
      </w:pPr>
      <w:r>
        <w:rPr>
          <w:rFonts w:hint="eastAsia" w:ascii="宋体" w:hAnsi="宋体" w:cs="仿宋"/>
          <w:sz w:val="24"/>
          <w:lang w:eastAsia="zh-CN"/>
        </w:rPr>
        <w:t>3.3.1</w:t>
      </w:r>
      <w:r>
        <w:rPr>
          <w:rFonts w:hint="eastAsia" w:cs="仿宋"/>
          <w:sz w:val="24"/>
          <w:lang w:eastAsia="zh-CN"/>
        </w:rPr>
        <w:t>谈判</w:t>
      </w:r>
      <w:r>
        <w:rPr>
          <w:rFonts w:hint="eastAsia" w:ascii="宋体" w:hAnsi="宋体" w:cs="仿宋"/>
          <w:sz w:val="24"/>
          <w:lang w:eastAsia="zh-CN"/>
        </w:rPr>
        <w:t>有效期：</w:t>
      </w:r>
      <w:r>
        <w:rPr>
          <w:rFonts w:hint="eastAsia" w:ascii="宋体" w:hAnsi="宋体"/>
          <w:sz w:val="24"/>
          <w:lang w:eastAsia="zh-CN"/>
        </w:rPr>
        <w:t>在供应商须知前附表规定的报价有效期内，供应商不得要求撤销或修改其响应文件。</w:t>
      </w:r>
    </w:p>
    <w:p w14:paraId="18009647">
      <w:pPr>
        <w:spacing w:line="360" w:lineRule="auto"/>
        <w:ind w:firstLine="480" w:firstLineChars="200"/>
        <w:rPr>
          <w:rFonts w:ascii="宋体" w:hAnsi="宋体" w:cs="仿宋"/>
          <w:sz w:val="24"/>
          <w:lang w:eastAsia="zh-CN"/>
        </w:rPr>
      </w:pPr>
      <w:r>
        <w:rPr>
          <w:rFonts w:hint="eastAsia" w:ascii="宋体" w:hAnsi="宋体" w:cs="仿宋"/>
          <w:sz w:val="24"/>
          <w:lang w:eastAsia="zh-CN"/>
        </w:rPr>
        <w:t>3.3.2 出现特殊情况需要延长</w:t>
      </w:r>
      <w:r>
        <w:rPr>
          <w:rFonts w:hint="eastAsia" w:cs="仿宋"/>
          <w:sz w:val="24"/>
          <w:lang w:eastAsia="zh-CN"/>
        </w:rPr>
        <w:t>谈判</w:t>
      </w:r>
      <w:r>
        <w:rPr>
          <w:rFonts w:hint="eastAsia" w:ascii="宋体" w:hAnsi="宋体" w:cs="仿宋"/>
          <w:sz w:val="24"/>
          <w:lang w:eastAsia="zh-CN"/>
        </w:rPr>
        <w:t>有效期的，</w:t>
      </w:r>
      <w:r>
        <w:rPr>
          <w:rFonts w:hint="eastAsia" w:cs="仿宋"/>
          <w:sz w:val="24"/>
          <w:lang w:eastAsia="zh-CN"/>
        </w:rPr>
        <w:t>采购</w:t>
      </w:r>
      <w:r>
        <w:rPr>
          <w:rFonts w:hint="eastAsia" w:ascii="宋体" w:hAnsi="宋体" w:cs="仿宋"/>
          <w:sz w:val="24"/>
          <w:lang w:eastAsia="zh-CN"/>
        </w:rPr>
        <w:t>人以书面形式通知所有</w:t>
      </w:r>
      <w:r>
        <w:rPr>
          <w:rFonts w:hint="eastAsia" w:cs="仿宋"/>
          <w:sz w:val="24"/>
          <w:lang w:eastAsia="zh-CN"/>
        </w:rPr>
        <w:t>供应商</w:t>
      </w:r>
      <w:r>
        <w:rPr>
          <w:rFonts w:hint="eastAsia" w:ascii="宋体" w:hAnsi="宋体" w:cs="仿宋"/>
          <w:sz w:val="24"/>
          <w:lang w:eastAsia="zh-CN"/>
        </w:rPr>
        <w:t>延长</w:t>
      </w:r>
      <w:r>
        <w:rPr>
          <w:rFonts w:hint="eastAsia" w:cs="仿宋"/>
          <w:sz w:val="24"/>
          <w:lang w:eastAsia="zh-CN"/>
        </w:rPr>
        <w:t>谈判</w:t>
      </w:r>
      <w:r>
        <w:rPr>
          <w:rFonts w:hint="eastAsia" w:ascii="宋体" w:hAnsi="宋体" w:cs="仿宋"/>
          <w:sz w:val="24"/>
          <w:lang w:eastAsia="zh-CN"/>
        </w:rPr>
        <w:t>有效期。</w:t>
      </w:r>
      <w:r>
        <w:rPr>
          <w:rFonts w:hint="eastAsia" w:cs="仿宋"/>
          <w:sz w:val="24"/>
          <w:lang w:eastAsia="zh-CN"/>
        </w:rPr>
        <w:t>供应商</w:t>
      </w:r>
      <w:r>
        <w:rPr>
          <w:rFonts w:hint="eastAsia" w:ascii="宋体" w:hAnsi="宋体" w:cs="仿宋"/>
          <w:sz w:val="24"/>
          <w:lang w:eastAsia="zh-CN"/>
        </w:rPr>
        <w:t>同意延长的，应相应延长其</w:t>
      </w:r>
      <w:r>
        <w:rPr>
          <w:rFonts w:hint="eastAsia" w:cs="仿宋"/>
          <w:sz w:val="24"/>
          <w:lang w:eastAsia="zh-CN"/>
        </w:rPr>
        <w:t>谈判</w:t>
      </w:r>
      <w:r>
        <w:rPr>
          <w:rFonts w:hint="eastAsia" w:ascii="宋体" w:hAnsi="宋体" w:cs="仿宋"/>
          <w:sz w:val="24"/>
          <w:lang w:eastAsia="zh-CN"/>
        </w:rPr>
        <w:t>保证金的有效期，但不得要求或被允许修改或撤销其</w:t>
      </w:r>
      <w:r>
        <w:rPr>
          <w:rFonts w:hint="eastAsia" w:cs="仿宋"/>
          <w:sz w:val="24"/>
          <w:lang w:eastAsia="zh-CN"/>
        </w:rPr>
        <w:t>响应</w:t>
      </w:r>
      <w:r>
        <w:rPr>
          <w:rFonts w:hint="eastAsia" w:ascii="宋体" w:hAnsi="宋体" w:cs="仿宋"/>
          <w:sz w:val="24"/>
          <w:lang w:eastAsia="zh-CN"/>
        </w:rPr>
        <w:t>文件；</w:t>
      </w:r>
      <w:r>
        <w:rPr>
          <w:rFonts w:hint="eastAsia" w:cs="仿宋"/>
          <w:sz w:val="24"/>
          <w:lang w:eastAsia="zh-CN"/>
        </w:rPr>
        <w:t>供应商</w:t>
      </w:r>
      <w:r>
        <w:rPr>
          <w:rFonts w:hint="eastAsia" w:ascii="宋体" w:hAnsi="宋体" w:cs="仿宋"/>
          <w:sz w:val="24"/>
          <w:lang w:eastAsia="zh-CN"/>
        </w:rPr>
        <w:t>拒绝延长的，其</w:t>
      </w:r>
      <w:r>
        <w:rPr>
          <w:rFonts w:hint="eastAsia" w:cs="仿宋"/>
          <w:sz w:val="24"/>
          <w:lang w:eastAsia="zh-CN"/>
        </w:rPr>
        <w:t>响应文件</w:t>
      </w:r>
      <w:r>
        <w:rPr>
          <w:rFonts w:hint="eastAsia" w:ascii="宋体" w:hAnsi="宋体" w:cs="仿宋"/>
          <w:sz w:val="24"/>
          <w:lang w:eastAsia="zh-CN"/>
        </w:rPr>
        <w:t>失效，但</w:t>
      </w:r>
      <w:r>
        <w:rPr>
          <w:rFonts w:hint="eastAsia" w:cs="仿宋"/>
          <w:sz w:val="24"/>
          <w:lang w:eastAsia="zh-CN"/>
        </w:rPr>
        <w:t>供应商</w:t>
      </w:r>
      <w:r>
        <w:rPr>
          <w:rFonts w:hint="eastAsia" w:ascii="宋体" w:hAnsi="宋体" w:cs="仿宋"/>
          <w:sz w:val="24"/>
          <w:lang w:eastAsia="zh-CN"/>
        </w:rPr>
        <w:t>有权收回其</w:t>
      </w:r>
      <w:r>
        <w:rPr>
          <w:rFonts w:hint="eastAsia" w:cs="仿宋"/>
          <w:sz w:val="24"/>
          <w:lang w:eastAsia="zh-CN"/>
        </w:rPr>
        <w:t>谈判</w:t>
      </w:r>
      <w:r>
        <w:rPr>
          <w:rFonts w:hint="eastAsia" w:ascii="宋体" w:hAnsi="宋体" w:cs="仿宋"/>
          <w:sz w:val="24"/>
          <w:lang w:eastAsia="zh-CN"/>
        </w:rPr>
        <w:t>保证金。</w:t>
      </w:r>
    </w:p>
    <w:p w14:paraId="6991DC29">
      <w:pPr>
        <w:pStyle w:val="27"/>
        <w:rPr>
          <w:lang w:eastAsia="zh-CN"/>
        </w:rPr>
      </w:pPr>
      <w:bookmarkStart w:id="51" w:name="_Toc506105838"/>
      <w:bookmarkStart w:id="52" w:name="_Toc406766396"/>
      <w:bookmarkStart w:id="53" w:name="_Toc507936032"/>
      <w:r>
        <w:rPr>
          <w:rFonts w:hint="eastAsia"/>
          <w:lang w:eastAsia="zh-CN"/>
        </w:rPr>
        <w:t>3.4 谈判保证金</w:t>
      </w:r>
      <w:bookmarkEnd w:id="51"/>
      <w:bookmarkEnd w:id="52"/>
      <w:bookmarkEnd w:id="53"/>
    </w:p>
    <w:p w14:paraId="1BB7FDD8">
      <w:pPr>
        <w:spacing w:line="360" w:lineRule="auto"/>
        <w:ind w:firstLine="480" w:firstLineChars="200"/>
        <w:rPr>
          <w:rFonts w:hint="eastAsia" w:ascii="宋体" w:hAnsi="宋体" w:eastAsia="宋体" w:cs="仿宋"/>
          <w:sz w:val="24"/>
          <w:lang w:eastAsia="zh-CN"/>
        </w:rPr>
      </w:pPr>
      <w:bookmarkStart w:id="54" w:name="_Toc507936033"/>
      <w:bookmarkStart w:id="55" w:name="_Toc506105839"/>
      <w:r>
        <w:rPr>
          <w:rFonts w:hint="eastAsia" w:ascii="宋体" w:hAnsi="宋体" w:eastAsia="宋体" w:cs="仿宋"/>
          <w:sz w:val="24"/>
          <w:lang w:eastAsia="zh-CN"/>
        </w:rPr>
        <w:t>3.4.1供应商在递交响应文件的同时，应按谈判须知前附表规定的金额、形式递交谈判保证金，并作为其响应文件的组成部分。以现金或者支票形式提交的保证金，应当从其基本账户转出。联合体报名的，其保证金可以由牵头人递交，并应符合谈判人须知前附表的规定。</w:t>
      </w:r>
    </w:p>
    <w:p w14:paraId="7C91FEFD">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3.4.2供应商不按本章第3.4.1项要求提交谈判保证金的，评审委员会将否决其报名。</w:t>
      </w:r>
    </w:p>
    <w:p w14:paraId="07F0209B">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3.4.3有下列情形之一的，保证金将不予退还：</w:t>
      </w:r>
    </w:p>
    <w:p w14:paraId="221F94FB">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（1）供应商在报价有效期内撤销响应文件；</w:t>
      </w:r>
    </w:p>
    <w:p w14:paraId="30A31D47">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（2）成交单位在收到成交通知书后，无正当理由不与采购人订立合同，在签订合同时向采购人提出附加条件，或者不按照谈判文件要求提交履约保证金；</w:t>
      </w:r>
    </w:p>
    <w:p w14:paraId="7CA6FA31">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（3）发生谈判须知前附表规定的其他可以不予退还保证金的情形。</w:t>
      </w:r>
    </w:p>
    <w:p w14:paraId="2CD91BFE">
      <w:pPr>
        <w:pStyle w:val="27"/>
        <w:rPr>
          <w:rFonts w:ascii="Arial" w:hAnsi="Arial" w:cs="Times New Roman"/>
          <w:b w:val="0"/>
          <w:bCs w:val="0"/>
          <w:lang w:eastAsia="zh-CN"/>
        </w:rPr>
      </w:pPr>
      <w:r>
        <w:rPr>
          <w:rFonts w:hint="eastAsia" w:ascii="Arial" w:hAnsi="Arial" w:cs="Times New Roman"/>
          <w:b w:val="0"/>
          <w:bCs w:val="0"/>
          <w:lang w:eastAsia="zh-CN"/>
        </w:rPr>
        <w:t>3.5 资格审查资料</w:t>
      </w:r>
      <w:bookmarkEnd w:id="54"/>
      <w:bookmarkEnd w:id="55"/>
    </w:p>
    <w:p w14:paraId="2013B239">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除谈判须知前附表另有规定外，供应商应按下列规定提供资格审查资料，以证明其满足本章第1.4款规定的资质、财务、业绩、信誉等要求。</w:t>
      </w:r>
    </w:p>
    <w:p w14:paraId="2EA8EB1B">
      <w:pPr>
        <w:spacing w:line="360" w:lineRule="auto"/>
        <w:ind w:firstLine="480" w:firstLineChars="200"/>
        <w:rPr>
          <w:rFonts w:hint="eastAsia" w:ascii="仿宋" w:hAnsi="仿宋" w:eastAsia="宋体" w:cs="Times New Roman"/>
          <w:sz w:val="28"/>
          <w:szCs w:val="28"/>
          <w:lang w:eastAsia="zh-CN"/>
        </w:rPr>
      </w:pPr>
      <w:r>
        <w:rPr>
          <w:rFonts w:hint="eastAsia" w:ascii="宋体" w:hAnsi="宋体" w:eastAsia="宋体" w:cs="仿宋"/>
          <w:sz w:val="24"/>
          <w:lang w:eastAsia="zh-CN"/>
        </w:rPr>
        <w:t>3.5.1 “供应商基本情况表”</w:t>
      </w:r>
      <w:r>
        <w:rPr>
          <w:rFonts w:ascii="宋体" w:hAnsi="宋体" w:eastAsia="宋体"/>
          <w:lang w:eastAsia="zh-CN"/>
        </w:rPr>
        <w:t>应附</w:t>
      </w:r>
      <w:r>
        <w:rPr>
          <w:rFonts w:hint="eastAsia" w:ascii="宋体" w:hAnsi="宋体" w:eastAsia="宋体"/>
          <w:lang w:eastAsia="zh-CN"/>
        </w:rPr>
        <w:t>营业执照、</w:t>
      </w:r>
      <w:r>
        <w:rPr>
          <w:rFonts w:ascii="宋体" w:hAnsi="宋体" w:eastAsia="宋体"/>
          <w:lang w:eastAsia="zh-CN"/>
        </w:rPr>
        <w:t>资质证书副本等材料的</w:t>
      </w:r>
      <w:r>
        <w:rPr>
          <w:rFonts w:hint="eastAsia" w:ascii="宋体" w:hAnsi="宋体" w:eastAsia="宋体"/>
          <w:lang w:eastAsia="zh-CN"/>
        </w:rPr>
        <w:t>原件扫描件。</w:t>
      </w:r>
    </w:p>
    <w:p w14:paraId="21503FB4">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3.5.2 “近年财务状况表”应附经会计师事务所或审计机构审计的财务会计报表扫描件，具体年份要求见谈判须知前附表。</w:t>
      </w:r>
    </w:p>
    <w:p w14:paraId="1EA8AE84">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3.5.3“近年完成的业绩情况表”应附合同的原件扫描件，具体时间要求见谈判须知前附表。</w:t>
      </w:r>
    </w:p>
    <w:p w14:paraId="483BB46D">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3.5.4“近年发生的诉讼及仲裁情况”应附败诉的买卖合同的相关情况，并附法院或仲裁机构作出的判决、裁决等有关法律文书，具体时间要求见谈判须知前附表。</w:t>
      </w:r>
    </w:p>
    <w:p w14:paraId="35859576">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3.5.5供应商认为有必要提供的其他证明文件。</w:t>
      </w:r>
    </w:p>
    <w:p w14:paraId="60C39DDE">
      <w:pPr>
        <w:pStyle w:val="27"/>
        <w:rPr>
          <w:rFonts w:ascii="Arial" w:hAnsi="Arial" w:cs="Times New Roman"/>
          <w:b w:val="0"/>
          <w:bCs w:val="0"/>
          <w:lang w:eastAsia="zh-CN"/>
        </w:rPr>
      </w:pPr>
      <w:bookmarkStart w:id="56" w:name="_Toc506105840"/>
      <w:bookmarkStart w:id="57" w:name="_Toc507936034"/>
      <w:r>
        <w:rPr>
          <w:rFonts w:hint="eastAsia" w:ascii="Arial" w:hAnsi="Arial" w:cs="Times New Roman"/>
          <w:b w:val="0"/>
          <w:bCs w:val="0"/>
          <w:lang w:eastAsia="zh-CN"/>
        </w:rPr>
        <w:t>3.6 备选方案</w:t>
      </w:r>
      <w:bookmarkEnd w:id="56"/>
      <w:bookmarkEnd w:id="57"/>
    </w:p>
    <w:p w14:paraId="4B8C2ADC">
      <w:pPr>
        <w:spacing w:line="360" w:lineRule="auto"/>
        <w:ind w:firstLine="480" w:firstLineChars="200"/>
        <w:rPr>
          <w:rFonts w:hint="eastAsia" w:ascii="宋体" w:hAnsi="宋体" w:eastAsia="宋体" w:cs="仿宋"/>
          <w:sz w:val="24"/>
          <w:lang w:eastAsia="zh-CN"/>
        </w:rPr>
      </w:pPr>
      <w:r>
        <w:rPr>
          <w:rFonts w:hint="eastAsia" w:ascii="宋体" w:hAnsi="宋体" w:eastAsia="宋体" w:cs="仿宋"/>
          <w:sz w:val="24"/>
          <w:lang w:eastAsia="zh-CN"/>
        </w:rPr>
        <w:t>3.6.1本次谈判不接受备选方案。</w:t>
      </w:r>
    </w:p>
    <w:p w14:paraId="5B551243">
      <w:pPr>
        <w:pStyle w:val="27"/>
        <w:rPr>
          <w:lang w:eastAsia="zh-CN"/>
        </w:rPr>
      </w:pPr>
      <w:bookmarkStart w:id="58" w:name="_Toc506105841"/>
      <w:bookmarkStart w:id="59" w:name="_Toc507936035"/>
      <w:r>
        <w:rPr>
          <w:rFonts w:hint="eastAsia"/>
          <w:lang w:eastAsia="zh-CN"/>
        </w:rPr>
        <w:t>3.7 响应文件的编制</w:t>
      </w:r>
      <w:bookmarkEnd w:id="58"/>
      <w:bookmarkEnd w:id="59"/>
    </w:p>
    <w:p w14:paraId="69AA7419">
      <w:pPr>
        <w:spacing w:line="360" w:lineRule="auto"/>
        <w:ind w:firstLine="480" w:firstLineChars="200"/>
        <w:rPr>
          <w:rFonts w:ascii="宋体" w:hAnsi="宋体" w:cs="仿宋"/>
          <w:sz w:val="24"/>
          <w:lang w:eastAsia="zh-CN"/>
        </w:rPr>
      </w:pPr>
      <w:r>
        <w:rPr>
          <w:rFonts w:hint="eastAsia" w:ascii="宋体" w:hAnsi="宋体" w:cs="仿宋"/>
          <w:sz w:val="24"/>
          <w:lang w:eastAsia="zh-CN"/>
        </w:rPr>
        <w:t>3.7.1</w:t>
      </w:r>
      <w:r>
        <w:rPr>
          <w:rFonts w:hint="eastAsia" w:cs="仿宋"/>
          <w:sz w:val="24"/>
          <w:lang w:eastAsia="zh-CN"/>
        </w:rPr>
        <w:t>响应</w:t>
      </w:r>
      <w:r>
        <w:rPr>
          <w:rFonts w:hint="eastAsia" w:ascii="宋体" w:hAnsi="宋体" w:cs="仿宋"/>
          <w:sz w:val="24"/>
          <w:lang w:eastAsia="zh-CN"/>
        </w:rPr>
        <w:t>文件应按《第五章</w:t>
      </w:r>
      <w:r>
        <w:rPr>
          <w:rFonts w:hint="eastAsia" w:cs="仿宋"/>
          <w:sz w:val="24"/>
          <w:lang w:eastAsia="zh-CN"/>
        </w:rPr>
        <w:t>响应</w:t>
      </w:r>
      <w:r>
        <w:rPr>
          <w:rFonts w:hint="eastAsia" w:ascii="宋体" w:hAnsi="宋体" w:cs="仿宋"/>
          <w:sz w:val="24"/>
          <w:lang w:eastAsia="zh-CN"/>
        </w:rPr>
        <w:t>文件格式及内容》要求进行编写。</w:t>
      </w:r>
    </w:p>
    <w:p w14:paraId="4B34C22A">
      <w:pPr>
        <w:spacing w:line="360" w:lineRule="auto"/>
        <w:ind w:firstLine="480" w:firstLineChars="200"/>
        <w:rPr>
          <w:rFonts w:ascii="宋体" w:hAnsi="宋体" w:cs="仿宋"/>
          <w:sz w:val="24"/>
          <w:lang w:eastAsia="zh-CN"/>
        </w:rPr>
      </w:pPr>
      <w:r>
        <w:rPr>
          <w:rFonts w:hint="eastAsia" w:ascii="宋体" w:hAnsi="宋体" w:cs="仿宋"/>
          <w:sz w:val="24"/>
          <w:lang w:eastAsia="zh-CN"/>
        </w:rPr>
        <w:t>3.7.2</w:t>
      </w:r>
      <w:r>
        <w:rPr>
          <w:rFonts w:hint="eastAsia" w:cs="仿宋"/>
          <w:sz w:val="24"/>
          <w:lang w:eastAsia="zh-CN"/>
        </w:rPr>
        <w:t>响应</w:t>
      </w:r>
      <w:r>
        <w:rPr>
          <w:rFonts w:hint="eastAsia" w:ascii="宋体" w:hAnsi="宋体" w:cs="仿宋"/>
          <w:sz w:val="24"/>
          <w:lang w:eastAsia="zh-CN"/>
        </w:rPr>
        <w:t>文件应当对</w:t>
      </w:r>
      <w:r>
        <w:rPr>
          <w:rFonts w:hint="eastAsia" w:cs="仿宋"/>
          <w:sz w:val="24"/>
          <w:lang w:eastAsia="zh-CN"/>
        </w:rPr>
        <w:t>谈判</w:t>
      </w:r>
      <w:r>
        <w:rPr>
          <w:rFonts w:hint="eastAsia" w:ascii="宋体" w:hAnsi="宋体" w:cs="仿宋"/>
          <w:sz w:val="24"/>
          <w:lang w:eastAsia="zh-CN"/>
        </w:rPr>
        <w:t>文件有关交货期、</w:t>
      </w:r>
      <w:r>
        <w:rPr>
          <w:rFonts w:hint="eastAsia" w:cs="仿宋"/>
          <w:sz w:val="24"/>
          <w:lang w:eastAsia="zh-CN"/>
        </w:rPr>
        <w:t>谈判</w:t>
      </w:r>
      <w:r>
        <w:rPr>
          <w:rFonts w:hint="eastAsia" w:ascii="宋体" w:hAnsi="宋体" w:cs="仿宋"/>
          <w:sz w:val="24"/>
          <w:lang w:eastAsia="zh-CN"/>
        </w:rPr>
        <w:t>有效期、质量要求、技术</w:t>
      </w:r>
      <w:r>
        <w:rPr>
          <w:rFonts w:hint="eastAsia" w:cs="仿宋"/>
          <w:sz w:val="24"/>
          <w:lang w:eastAsia="zh-CN"/>
        </w:rPr>
        <w:t>标准和</w:t>
      </w:r>
      <w:r>
        <w:rPr>
          <w:rFonts w:hint="eastAsia" w:ascii="宋体" w:hAnsi="宋体" w:cs="仿宋"/>
          <w:sz w:val="24"/>
          <w:lang w:eastAsia="zh-CN"/>
        </w:rPr>
        <w:t>要求、</w:t>
      </w:r>
      <w:r>
        <w:rPr>
          <w:rFonts w:hint="eastAsia" w:cs="仿宋"/>
          <w:sz w:val="24"/>
          <w:lang w:eastAsia="zh-CN"/>
        </w:rPr>
        <w:t>采购</w:t>
      </w:r>
      <w:r>
        <w:rPr>
          <w:rFonts w:hint="eastAsia" w:ascii="宋体" w:hAnsi="宋体" w:cs="仿宋"/>
          <w:sz w:val="24"/>
          <w:lang w:eastAsia="zh-CN"/>
        </w:rPr>
        <w:t>范围等实质性内容作出响应。</w:t>
      </w:r>
    </w:p>
    <w:p w14:paraId="4209B25B">
      <w:pPr>
        <w:spacing w:line="360" w:lineRule="auto"/>
        <w:ind w:firstLine="480" w:firstLineChars="200"/>
        <w:rPr>
          <w:rFonts w:ascii="宋体" w:hAnsi="宋体" w:cs="仿宋"/>
          <w:sz w:val="24"/>
          <w:lang w:eastAsia="zh-CN"/>
        </w:rPr>
      </w:pPr>
      <w:r>
        <w:rPr>
          <w:rFonts w:hint="eastAsia" w:ascii="宋体" w:hAnsi="宋体" w:cs="仿宋"/>
          <w:sz w:val="24"/>
          <w:lang w:eastAsia="zh-CN"/>
        </w:rPr>
        <w:t>3.7.3</w:t>
      </w:r>
      <w:r>
        <w:rPr>
          <w:rFonts w:hint="eastAsia" w:cs="仿宋"/>
          <w:sz w:val="24"/>
          <w:lang w:eastAsia="zh-CN"/>
        </w:rPr>
        <w:t>响应</w:t>
      </w:r>
      <w:r>
        <w:rPr>
          <w:rFonts w:hint="eastAsia" w:ascii="宋体" w:hAnsi="宋体" w:cs="仿宋"/>
          <w:sz w:val="24"/>
          <w:lang w:eastAsia="zh-CN"/>
        </w:rPr>
        <w:t>文件应用不褪色的材料书写或打印，并由法定代表人或其委托代理人签字或盖</w:t>
      </w:r>
      <w:r>
        <w:rPr>
          <w:rFonts w:hint="eastAsia" w:cs="仿宋"/>
          <w:sz w:val="24"/>
          <w:lang w:eastAsia="zh-CN"/>
        </w:rPr>
        <w:t>公</w:t>
      </w:r>
      <w:r>
        <w:rPr>
          <w:rFonts w:hint="eastAsia" w:ascii="宋体" w:hAnsi="宋体" w:cs="仿宋"/>
          <w:sz w:val="24"/>
          <w:lang w:eastAsia="zh-CN"/>
        </w:rPr>
        <w:t>章。签字或盖章的具体要求见</w:t>
      </w:r>
      <w:r>
        <w:rPr>
          <w:rFonts w:hint="eastAsia" w:cs="仿宋"/>
          <w:sz w:val="24"/>
          <w:lang w:eastAsia="zh-CN"/>
        </w:rPr>
        <w:t>谈判</w:t>
      </w:r>
      <w:r>
        <w:rPr>
          <w:rFonts w:hint="eastAsia" w:ascii="宋体" w:hAnsi="宋体" w:cs="仿宋"/>
          <w:sz w:val="24"/>
          <w:lang w:eastAsia="zh-CN"/>
        </w:rPr>
        <w:t>须知前附表。</w:t>
      </w:r>
    </w:p>
    <w:p w14:paraId="090C1285">
      <w:pPr>
        <w:spacing w:line="360" w:lineRule="auto"/>
        <w:ind w:firstLine="480" w:firstLineChars="200"/>
        <w:rPr>
          <w:rFonts w:ascii="宋体" w:hAnsi="宋体" w:cs="仿宋"/>
          <w:sz w:val="24"/>
          <w:lang w:eastAsia="zh-CN"/>
        </w:rPr>
      </w:pPr>
      <w:r>
        <w:rPr>
          <w:rFonts w:hint="eastAsia" w:ascii="宋体" w:hAnsi="宋体" w:cs="仿宋"/>
          <w:sz w:val="24"/>
          <w:lang w:eastAsia="zh-CN"/>
        </w:rPr>
        <w:t>3.7.4</w:t>
      </w:r>
      <w:r>
        <w:rPr>
          <w:rFonts w:hint="eastAsia" w:cs="仿宋"/>
          <w:sz w:val="24"/>
          <w:lang w:eastAsia="zh-CN"/>
        </w:rPr>
        <w:t>响应</w:t>
      </w:r>
      <w:r>
        <w:rPr>
          <w:rFonts w:hint="eastAsia" w:ascii="宋体" w:hAnsi="宋体" w:cs="仿宋"/>
          <w:sz w:val="24"/>
          <w:lang w:eastAsia="zh-CN"/>
        </w:rPr>
        <w:t>文件正本和副本的封面上应清楚地标记“正本”或“副本”的字样。当副本和正本不一致时，以正本为准。</w:t>
      </w:r>
    </w:p>
    <w:p w14:paraId="2F2F3A68">
      <w:pPr>
        <w:spacing w:line="360" w:lineRule="auto"/>
        <w:ind w:firstLine="480" w:firstLineChars="200"/>
        <w:rPr>
          <w:rFonts w:ascii="宋体" w:hAnsi="宋体" w:cs="仿宋"/>
          <w:sz w:val="24"/>
          <w:lang w:eastAsia="zh-CN"/>
        </w:rPr>
      </w:pPr>
      <w:r>
        <w:rPr>
          <w:rFonts w:hint="eastAsia" w:ascii="宋体" w:hAnsi="宋体" w:cs="仿宋"/>
          <w:sz w:val="24"/>
          <w:lang w:eastAsia="zh-CN"/>
        </w:rPr>
        <w:t>3.7.5</w:t>
      </w:r>
      <w:r>
        <w:rPr>
          <w:rFonts w:hint="eastAsia" w:cs="仿宋"/>
          <w:sz w:val="24"/>
          <w:lang w:eastAsia="zh-CN"/>
        </w:rPr>
        <w:t>响应</w:t>
      </w:r>
      <w:r>
        <w:rPr>
          <w:rFonts w:hint="eastAsia" w:ascii="宋体" w:hAnsi="宋体" w:cs="仿宋"/>
          <w:sz w:val="24"/>
          <w:lang w:eastAsia="zh-CN"/>
        </w:rPr>
        <w:t>文件的正本与副本应分别装订成册，并编制目录，详见</w:t>
      </w:r>
      <w:r>
        <w:rPr>
          <w:rFonts w:hint="eastAsia" w:cs="仿宋"/>
          <w:sz w:val="24"/>
          <w:lang w:eastAsia="zh-CN"/>
        </w:rPr>
        <w:t>谈判</w:t>
      </w:r>
      <w:r>
        <w:rPr>
          <w:rFonts w:hint="eastAsia" w:ascii="宋体" w:hAnsi="宋体" w:cs="仿宋"/>
          <w:sz w:val="24"/>
          <w:lang w:eastAsia="zh-CN"/>
        </w:rPr>
        <w:t>须知前附表。</w:t>
      </w:r>
    </w:p>
    <w:p w14:paraId="41E06333">
      <w:pPr>
        <w:spacing w:line="360" w:lineRule="auto"/>
        <w:jc w:val="center"/>
        <w:rPr>
          <w:rStyle w:val="29"/>
          <w:rFonts w:hint="eastAsia" w:ascii="宋体" w:hAnsi="宋体" w:eastAsia="宋体"/>
          <w:lang w:eastAsia="zh-CN"/>
        </w:rPr>
      </w:pPr>
      <w:r>
        <w:rPr>
          <w:rStyle w:val="29"/>
          <w:rFonts w:hint="eastAsia" w:ascii="宋体" w:hAnsi="宋体"/>
          <w:lang w:eastAsia="zh-CN"/>
        </w:rPr>
        <w:t>4.</w:t>
      </w:r>
      <w:r>
        <w:rPr>
          <w:rStyle w:val="29"/>
          <w:rFonts w:hint="eastAsia" w:eastAsia="宋体"/>
          <w:lang w:eastAsia="zh-CN"/>
        </w:rPr>
        <w:t>响应</w:t>
      </w:r>
    </w:p>
    <w:p w14:paraId="584A76F0">
      <w:pPr>
        <w:pStyle w:val="27"/>
        <w:rPr>
          <w:lang w:eastAsia="zh-CN"/>
        </w:rPr>
      </w:pPr>
      <w:bookmarkStart w:id="60" w:name="_Toc507936037"/>
      <w:bookmarkStart w:id="61" w:name="_Toc506105844"/>
      <w:bookmarkStart w:id="62" w:name="_Toc507936039"/>
      <w:bookmarkStart w:id="63" w:name="_Toc506105846"/>
      <w:r>
        <w:rPr>
          <w:rFonts w:hint="eastAsia"/>
          <w:lang w:eastAsia="zh-CN"/>
        </w:rPr>
        <w:t>4.1 响应文件的递交</w:t>
      </w:r>
      <w:bookmarkEnd w:id="60"/>
      <w:bookmarkEnd w:id="61"/>
    </w:p>
    <w:p w14:paraId="3BC1C61B">
      <w:pPr>
        <w:spacing w:line="360" w:lineRule="auto"/>
        <w:ind w:firstLine="480" w:firstLineChars="200"/>
        <w:rPr>
          <w:rFonts w:ascii="宋体" w:hAnsi="宋体" w:cs="仿宋"/>
          <w:sz w:val="24"/>
          <w:lang w:eastAsia="zh-CN"/>
        </w:rPr>
      </w:pPr>
      <w:r>
        <w:rPr>
          <w:rFonts w:hint="eastAsia" w:ascii="宋体" w:hAnsi="宋体" w:cs="仿宋"/>
          <w:sz w:val="24"/>
          <w:lang w:eastAsia="zh-CN"/>
        </w:rPr>
        <w:t>详见</w:t>
      </w:r>
      <w:r>
        <w:rPr>
          <w:rFonts w:hint="eastAsia" w:cs="仿宋"/>
          <w:sz w:val="24"/>
          <w:lang w:eastAsia="zh-CN"/>
        </w:rPr>
        <w:t>谈判</w:t>
      </w:r>
      <w:r>
        <w:rPr>
          <w:rFonts w:hint="eastAsia" w:ascii="宋体" w:hAnsi="宋体" w:cs="仿宋"/>
          <w:sz w:val="24"/>
          <w:lang w:eastAsia="zh-CN"/>
        </w:rPr>
        <w:t>须知前附表。</w:t>
      </w:r>
    </w:p>
    <w:p w14:paraId="13D9C963">
      <w:pPr>
        <w:pStyle w:val="27"/>
        <w:rPr>
          <w:lang w:eastAsia="zh-CN"/>
        </w:rPr>
      </w:pPr>
      <w:bookmarkStart w:id="64" w:name="_Toc507936038"/>
      <w:bookmarkStart w:id="65" w:name="_Toc506105845"/>
      <w:r>
        <w:rPr>
          <w:rFonts w:hint="eastAsia"/>
          <w:lang w:eastAsia="zh-CN"/>
        </w:rPr>
        <w:t>4.2 响应文件的修改与撤回</w:t>
      </w:r>
      <w:bookmarkEnd w:id="64"/>
      <w:bookmarkEnd w:id="65"/>
    </w:p>
    <w:p w14:paraId="250F8AB2">
      <w:pPr>
        <w:spacing w:line="360" w:lineRule="auto"/>
        <w:ind w:firstLine="480" w:firstLineChars="200"/>
        <w:rPr>
          <w:rFonts w:ascii="宋体" w:hAnsi="宋体" w:cs="仿宋"/>
          <w:sz w:val="24"/>
          <w:lang w:eastAsia="zh-CN"/>
        </w:rPr>
      </w:pPr>
      <w:r>
        <w:rPr>
          <w:rFonts w:hint="eastAsia" w:ascii="宋体" w:hAnsi="宋体" w:cs="仿宋"/>
          <w:sz w:val="24"/>
          <w:lang w:eastAsia="zh-CN"/>
        </w:rPr>
        <w:t>在</w:t>
      </w:r>
      <w:r>
        <w:rPr>
          <w:rFonts w:hint="eastAsia" w:cs="仿宋"/>
          <w:sz w:val="24"/>
          <w:lang w:eastAsia="zh-CN"/>
        </w:rPr>
        <w:t>上传响应文件截止时间</w:t>
      </w:r>
      <w:r>
        <w:rPr>
          <w:rFonts w:hint="eastAsia" w:ascii="宋体" w:hAnsi="宋体" w:cs="仿宋"/>
          <w:sz w:val="24"/>
          <w:lang w:eastAsia="zh-CN"/>
        </w:rPr>
        <w:t>前，</w:t>
      </w:r>
      <w:r>
        <w:rPr>
          <w:rFonts w:hint="eastAsia" w:cs="仿宋"/>
          <w:sz w:val="24"/>
          <w:lang w:eastAsia="zh-CN"/>
        </w:rPr>
        <w:t>供应商</w:t>
      </w:r>
      <w:r>
        <w:rPr>
          <w:rFonts w:hint="eastAsia" w:ascii="宋体" w:hAnsi="宋体" w:cs="仿宋"/>
          <w:sz w:val="24"/>
          <w:lang w:eastAsia="zh-CN"/>
        </w:rPr>
        <w:t>可以修改或撤回已递交的</w:t>
      </w:r>
      <w:r>
        <w:rPr>
          <w:rFonts w:hint="eastAsia" w:cs="仿宋"/>
          <w:sz w:val="24"/>
          <w:lang w:eastAsia="zh-CN"/>
        </w:rPr>
        <w:t>响应</w:t>
      </w:r>
      <w:r>
        <w:rPr>
          <w:rFonts w:hint="eastAsia" w:ascii="宋体" w:hAnsi="宋体" w:cs="仿宋"/>
          <w:sz w:val="24"/>
          <w:lang w:eastAsia="zh-CN"/>
        </w:rPr>
        <w:t>文件。</w:t>
      </w:r>
    </w:p>
    <w:p w14:paraId="60489D30">
      <w:pPr>
        <w:spacing w:line="360" w:lineRule="auto"/>
        <w:jc w:val="center"/>
        <w:rPr>
          <w:rStyle w:val="29"/>
          <w:rFonts w:ascii="宋体" w:hAnsi="宋体"/>
          <w:lang w:eastAsia="zh-CN"/>
        </w:rPr>
      </w:pPr>
      <w:r>
        <w:rPr>
          <w:rStyle w:val="29"/>
          <w:rFonts w:hint="eastAsia" w:ascii="宋体" w:hAnsi="宋体"/>
          <w:lang w:eastAsia="zh-CN"/>
        </w:rPr>
        <w:t>5.</w:t>
      </w:r>
      <w:bookmarkEnd w:id="62"/>
      <w:bookmarkEnd w:id="63"/>
      <w:r>
        <w:rPr>
          <w:rStyle w:val="29"/>
          <w:rFonts w:hint="eastAsia" w:ascii="宋体" w:hAnsi="宋体" w:eastAsia="宋体" w:cs="宋体"/>
          <w:lang w:eastAsia="zh-CN"/>
        </w:rPr>
        <w:t>谈判</w:t>
      </w:r>
    </w:p>
    <w:p w14:paraId="5CC32210">
      <w:pPr>
        <w:pStyle w:val="27"/>
        <w:rPr>
          <w:rFonts w:hint="eastAsia" w:eastAsia="宋体"/>
          <w:lang w:eastAsia="zh-CN"/>
        </w:rPr>
      </w:pPr>
      <w:bookmarkStart w:id="66" w:name="_Toc507936040"/>
      <w:bookmarkStart w:id="67" w:name="_Toc506105847"/>
      <w:r>
        <w:rPr>
          <w:rFonts w:hint="eastAsia"/>
          <w:lang w:eastAsia="zh-CN"/>
        </w:rPr>
        <w:t xml:space="preserve">5.1 </w:t>
      </w:r>
      <w:bookmarkEnd w:id="66"/>
      <w:bookmarkEnd w:id="67"/>
      <w:bookmarkStart w:id="68" w:name="_Toc506105848"/>
      <w:r>
        <w:rPr>
          <w:rFonts w:hint="eastAsia"/>
          <w:lang w:eastAsia="zh-CN"/>
        </w:rPr>
        <w:t>谈判</w:t>
      </w:r>
    </w:p>
    <w:p w14:paraId="44FEA1AB">
      <w:pPr>
        <w:spacing w:line="360" w:lineRule="auto"/>
        <w:rPr>
          <w:rFonts w:ascii="宋体" w:hAnsi="宋体" w:cs="仿宋"/>
          <w:sz w:val="24"/>
          <w:lang w:eastAsia="zh-CN"/>
        </w:rPr>
      </w:pPr>
      <w:r>
        <w:rPr>
          <w:rFonts w:hint="eastAsia" w:cs="宋体"/>
          <w:sz w:val="24"/>
          <w:lang w:eastAsia="zh-CN"/>
        </w:rPr>
        <w:t>谈判</w:t>
      </w:r>
      <w:r>
        <w:rPr>
          <w:rFonts w:hint="eastAsia" w:ascii="宋体" w:hAnsi="宋体" w:cs="宋体"/>
          <w:sz w:val="24"/>
          <w:lang w:eastAsia="zh-CN"/>
        </w:rPr>
        <w:t>时间和</w:t>
      </w:r>
      <w:r>
        <w:rPr>
          <w:rFonts w:hint="eastAsia" w:cs="宋体"/>
          <w:sz w:val="24"/>
          <w:lang w:eastAsia="zh-CN"/>
        </w:rPr>
        <w:t>方式</w:t>
      </w:r>
      <w:r>
        <w:rPr>
          <w:rFonts w:hint="eastAsia" w:ascii="宋体" w:hAnsi="宋体" w:cs="宋体"/>
          <w:sz w:val="24"/>
          <w:lang w:eastAsia="zh-CN"/>
        </w:rPr>
        <w:t>：</w:t>
      </w:r>
      <w:r>
        <w:rPr>
          <w:rFonts w:hint="eastAsia" w:ascii="宋体" w:hAnsi="宋体" w:cs="仿宋"/>
          <w:sz w:val="24"/>
          <w:lang w:eastAsia="zh-CN"/>
        </w:rPr>
        <w:t>详见</w:t>
      </w:r>
      <w:r>
        <w:rPr>
          <w:rFonts w:hint="eastAsia" w:cs="仿宋"/>
          <w:sz w:val="24"/>
          <w:lang w:eastAsia="zh-CN"/>
        </w:rPr>
        <w:t>谈判</w:t>
      </w:r>
      <w:r>
        <w:rPr>
          <w:rFonts w:hint="eastAsia" w:ascii="宋体" w:hAnsi="宋体" w:cs="仿宋"/>
          <w:sz w:val="24"/>
          <w:lang w:eastAsia="zh-CN"/>
        </w:rPr>
        <w:t>须知前附表。</w:t>
      </w:r>
    </w:p>
    <w:bookmarkEnd w:id="68"/>
    <w:p w14:paraId="778CFF80">
      <w:pPr>
        <w:pStyle w:val="22"/>
        <w:rPr>
          <w:rStyle w:val="29"/>
          <w:rFonts w:hint="eastAsia" w:cs="宋体"/>
          <w:b/>
          <w:bCs/>
          <w:lang w:eastAsia="zh-CN"/>
        </w:rPr>
      </w:pPr>
      <w:bookmarkStart w:id="69" w:name="_Toc507936041"/>
      <w:bookmarkStart w:id="70" w:name="_Toc506105849"/>
      <w:r>
        <w:rPr>
          <w:rStyle w:val="29"/>
          <w:rFonts w:hint="eastAsia"/>
          <w:b w:val="0"/>
          <w:bCs w:val="0"/>
          <w:lang w:eastAsia="zh-CN"/>
        </w:rPr>
        <w:t>6.</w:t>
      </w:r>
      <w:bookmarkEnd w:id="69"/>
      <w:bookmarkEnd w:id="70"/>
      <w:r>
        <w:rPr>
          <w:rStyle w:val="29"/>
          <w:rFonts w:hint="eastAsia" w:cs="宋体"/>
          <w:b/>
          <w:bCs/>
          <w:lang w:eastAsia="zh-CN"/>
        </w:rPr>
        <w:t>响应文件的评审</w:t>
      </w:r>
    </w:p>
    <w:p w14:paraId="7732BE4B">
      <w:pPr>
        <w:spacing w:line="360" w:lineRule="auto"/>
        <w:ind w:firstLine="480" w:firstLineChars="200"/>
        <w:rPr>
          <w:sz w:val="24"/>
          <w:lang w:eastAsia="zh-CN"/>
        </w:rPr>
      </w:pPr>
      <w:bookmarkStart w:id="71" w:name="_Toc506105854"/>
      <w:bookmarkStart w:id="72" w:name="_Toc507936046"/>
      <w:r>
        <w:rPr>
          <w:rFonts w:hint="eastAsia"/>
          <w:sz w:val="24"/>
          <w:lang w:eastAsia="zh-CN"/>
        </w:rPr>
        <w:t>6.1 评审程序</w:t>
      </w:r>
    </w:p>
    <w:p w14:paraId="70BB398E">
      <w:pPr>
        <w:spacing w:line="360" w:lineRule="auto"/>
        <w:ind w:firstLine="480" w:firstLineChars="200"/>
        <w:rPr>
          <w:sz w:val="24"/>
          <w:lang w:eastAsia="zh-CN"/>
        </w:rPr>
      </w:pPr>
      <w:r>
        <w:rPr>
          <w:rFonts w:hint="eastAsia" w:hAnsi="宋体"/>
          <w:sz w:val="24"/>
          <w:lang w:eastAsia="zh-CN"/>
        </w:rPr>
        <w:t>6.1</w:t>
      </w:r>
      <w:r>
        <w:rPr>
          <w:rFonts w:hint="eastAsia"/>
          <w:sz w:val="24"/>
          <w:lang w:eastAsia="zh-CN"/>
        </w:rPr>
        <w:t>.1谈判小组依据谈判文件的规定，对响应文件的有效性、完整性和对谈判文件的响应程度进行审查，以确定是否对谈判文件的要求做出实质性响应。未对谈判文件做实质性响应的供应商，为无效报价，不得进入具体谈判程序。</w:t>
      </w:r>
    </w:p>
    <w:p w14:paraId="599BF598">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对某一供应商的鉴定中，若有半数以上谈判小组成员认为某供应商有一项以上（包括一项）“不符合”，则该供应商不得进入下一步的评审。</w:t>
      </w:r>
    </w:p>
    <w:p w14:paraId="4F29AF8B">
      <w:pPr>
        <w:spacing w:line="360" w:lineRule="auto"/>
        <w:ind w:firstLine="480" w:firstLineChars="200"/>
        <w:rPr>
          <w:sz w:val="24"/>
          <w:lang w:eastAsia="zh-CN"/>
        </w:rPr>
      </w:pPr>
      <w:r>
        <w:rPr>
          <w:rFonts w:hint="eastAsia"/>
          <w:sz w:val="24"/>
          <w:lang w:eastAsia="zh-CN"/>
        </w:rPr>
        <w:t>6.1.2</w:t>
      </w:r>
      <w:r>
        <w:rPr>
          <w:rFonts w:hAnsi="宋体"/>
          <w:sz w:val="24"/>
          <w:lang w:eastAsia="zh-CN"/>
        </w:rPr>
        <w:t>评审内容的保密</w:t>
      </w:r>
    </w:p>
    <w:p w14:paraId="0D4053D9">
      <w:pPr>
        <w:spacing w:line="360" w:lineRule="auto"/>
        <w:ind w:firstLine="480" w:firstLineChars="200"/>
        <w:rPr>
          <w:sz w:val="24"/>
          <w:lang w:eastAsia="zh-CN"/>
        </w:rPr>
      </w:pPr>
      <w:r>
        <w:rPr>
          <w:rFonts w:hint="eastAsia"/>
          <w:sz w:val="24"/>
          <w:lang w:eastAsia="zh-CN"/>
        </w:rPr>
        <w:t>（1）</w:t>
      </w:r>
      <w:r>
        <w:rPr>
          <w:rFonts w:hAnsi="宋体"/>
          <w:sz w:val="24"/>
          <w:lang w:eastAsia="zh-CN"/>
        </w:rPr>
        <w:t>谈判开始，直到宣布成交供应商为止，凡属于审查、报价和比较报价的所有资料，有关授予合同的信息，都不应向供应商或与评审无关的其他人泄露。</w:t>
      </w:r>
    </w:p>
    <w:p w14:paraId="77DD51F8">
      <w:pPr>
        <w:spacing w:line="360" w:lineRule="auto"/>
        <w:ind w:firstLine="480" w:firstLineChars="200"/>
        <w:rPr>
          <w:sz w:val="24"/>
          <w:lang w:eastAsia="zh-CN"/>
        </w:rPr>
      </w:pPr>
      <w:r>
        <w:rPr>
          <w:rFonts w:hint="eastAsia"/>
          <w:sz w:val="24"/>
          <w:lang w:eastAsia="zh-CN"/>
        </w:rPr>
        <w:t>（2）</w:t>
      </w:r>
      <w:r>
        <w:rPr>
          <w:rFonts w:hAnsi="宋体"/>
          <w:sz w:val="24"/>
          <w:lang w:eastAsia="zh-CN"/>
        </w:rPr>
        <w:t>在响应文件的审查、澄清、评价和比较以及授予合同过程中，供应商对采购人和谈判小组成员施加影响的任何行为，都将导致取消其报价资格。</w:t>
      </w:r>
    </w:p>
    <w:p w14:paraId="009E8265">
      <w:pPr>
        <w:spacing w:line="360" w:lineRule="auto"/>
        <w:ind w:firstLine="480" w:firstLineChars="200"/>
        <w:rPr>
          <w:sz w:val="24"/>
          <w:lang w:eastAsia="zh-CN"/>
        </w:rPr>
      </w:pPr>
      <w:r>
        <w:rPr>
          <w:rFonts w:hint="eastAsia"/>
          <w:sz w:val="24"/>
          <w:lang w:eastAsia="zh-CN"/>
        </w:rPr>
        <w:t>6.1.3</w:t>
      </w:r>
      <w:r>
        <w:rPr>
          <w:rFonts w:hint="eastAsia" w:hAnsi="宋体"/>
          <w:sz w:val="24"/>
          <w:lang w:eastAsia="zh-CN"/>
        </w:rPr>
        <w:t xml:space="preserve"> </w:t>
      </w:r>
      <w:r>
        <w:rPr>
          <w:rFonts w:hAnsi="宋体"/>
          <w:sz w:val="24"/>
          <w:lang w:eastAsia="zh-CN"/>
        </w:rPr>
        <w:t>报价</w:t>
      </w:r>
      <w:r>
        <w:rPr>
          <w:rFonts w:hint="eastAsia" w:hAnsi="宋体"/>
          <w:sz w:val="24"/>
          <w:lang w:eastAsia="zh-CN"/>
        </w:rPr>
        <w:t>无效</w:t>
      </w:r>
    </w:p>
    <w:p w14:paraId="5BFD145D">
      <w:pPr>
        <w:spacing w:line="360" w:lineRule="auto"/>
        <w:ind w:firstLine="480" w:firstLineChars="200"/>
        <w:rPr>
          <w:sz w:val="24"/>
          <w:lang w:eastAsia="zh-CN"/>
        </w:rPr>
      </w:pPr>
      <w:r>
        <w:rPr>
          <w:rFonts w:hint="eastAsia"/>
          <w:sz w:val="24"/>
          <w:lang w:eastAsia="zh-CN"/>
        </w:rPr>
        <w:t>6.1.3.</w:t>
      </w:r>
      <w:r>
        <w:rPr>
          <w:sz w:val="24"/>
          <w:lang w:eastAsia="zh-CN"/>
        </w:rPr>
        <w:t>1</w:t>
      </w:r>
      <w:r>
        <w:rPr>
          <w:rFonts w:hAnsi="宋体"/>
          <w:sz w:val="24"/>
          <w:lang w:eastAsia="zh-CN"/>
        </w:rPr>
        <w:t>供应商有下列情况之一者，其报价</w:t>
      </w:r>
      <w:r>
        <w:rPr>
          <w:rFonts w:hint="eastAsia" w:hAnsi="宋体"/>
          <w:sz w:val="24"/>
          <w:lang w:eastAsia="zh-CN"/>
        </w:rPr>
        <w:t>无效</w:t>
      </w:r>
      <w:r>
        <w:rPr>
          <w:rFonts w:hAnsi="宋体"/>
          <w:sz w:val="24"/>
          <w:lang w:eastAsia="zh-CN"/>
        </w:rPr>
        <w:t>，但报价保证金不被没收：</w:t>
      </w:r>
    </w:p>
    <w:p w14:paraId="17030C0E">
      <w:pPr>
        <w:spacing w:line="360" w:lineRule="auto"/>
        <w:ind w:firstLine="480" w:firstLineChars="200"/>
        <w:rPr>
          <w:sz w:val="24"/>
          <w:lang w:eastAsia="zh-CN"/>
        </w:rPr>
      </w:pPr>
      <w:r>
        <w:rPr>
          <w:rFonts w:hAnsi="宋体"/>
          <w:sz w:val="24"/>
          <w:lang w:eastAsia="zh-CN"/>
        </w:rPr>
        <w:t>（</w:t>
      </w:r>
      <w:r>
        <w:rPr>
          <w:sz w:val="24"/>
          <w:lang w:eastAsia="zh-CN"/>
        </w:rPr>
        <w:t>1</w:t>
      </w:r>
      <w:r>
        <w:rPr>
          <w:rFonts w:hAnsi="宋体"/>
          <w:sz w:val="24"/>
          <w:lang w:eastAsia="zh-CN"/>
        </w:rPr>
        <w:t>）谈判文件中要求必备的证件未能提供；</w:t>
      </w:r>
    </w:p>
    <w:p w14:paraId="6AF232F9">
      <w:pPr>
        <w:spacing w:line="360" w:lineRule="auto"/>
        <w:ind w:firstLine="480" w:firstLineChars="200"/>
        <w:rPr>
          <w:sz w:val="24"/>
          <w:lang w:eastAsia="zh-CN"/>
        </w:rPr>
      </w:pPr>
      <w:r>
        <w:rPr>
          <w:rFonts w:hAnsi="宋体"/>
          <w:sz w:val="24"/>
          <w:lang w:eastAsia="zh-CN"/>
        </w:rPr>
        <w:t>（</w:t>
      </w:r>
      <w:r>
        <w:rPr>
          <w:sz w:val="24"/>
          <w:lang w:eastAsia="zh-CN"/>
        </w:rPr>
        <w:t>2</w:t>
      </w:r>
      <w:r>
        <w:rPr>
          <w:rFonts w:hAnsi="宋体"/>
          <w:sz w:val="24"/>
          <w:lang w:eastAsia="zh-CN"/>
        </w:rPr>
        <w:t>）不能达到谈判文件</w:t>
      </w:r>
      <w:r>
        <w:rPr>
          <w:rFonts w:hint="eastAsia" w:hAnsi="宋体"/>
          <w:sz w:val="24"/>
          <w:lang w:eastAsia="zh-CN"/>
        </w:rPr>
        <w:t>供应商</w:t>
      </w:r>
      <w:r>
        <w:rPr>
          <w:rFonts w:hAnsi="宋体"/>
          <w:sz w:val="24"/>
          <w:lang w:eastAsia="zh-CN"/>
        </w:rPr>
        <w:t>资质要求的；</w:t>
      </w:r>
    </w:p>
    <w:p w14:paraId="689A7C02">
      <w:pPr>
        <w:spacing w:line="360" w:lineRule="auto"/>
        <w:ind w:firstLine="480" w:firstLineChars="200"/>
        <w:rPr>
          <w:rFonts w:hint="eastAsia" w:ascii="宋体" w:hAnsi="宋体" w:eastAsia="宋体" w:cs="宋体"/>
          <w:sz w:val="24"/>
          <w:lang w:eastAsia="zh-CN"/>
        </w:rPr>
      </w:pPr>
      <w:r>
        <w:rPr>
          <w:rFonts w:hAnsi="宋体"/>
          <w:sz w:val="24"/>
          <w:lang w:eastAsia="zh-CN"/>
        </w:rPr>
        <w:t>（</w:t>
      </w:r>
      <w:r>
        <w:rPr>
          <w:rFonts w:hint="eastAsia" w:hAnsi="宋体"/>
          <w:sz w:val="24"/>
          <w:lang w:eastAsia="zh-CN"/>
        </w:rPr>
        <w:t>3</w:t>
      </w:r>
      <w:r>
        <w:rPr>
          <w:rFonts w:hAnsi="宋体"/>
          <w:sz w:val="24"/>
          <w:lang w:eastAsia="zh-CN"/>
        </w:rPr>
        <w:t>）</w:t>
      </w:r>
      <w:r>
        <w:rPr>
          <w:rFonts w:hint="eastAsia" w:ascii="宋体" w:hAnsi="宋体" w:eastAsia="宋体" w:cs="宋体"/>
          <w:sz w:val="24"/>
          <w:lang w:eastAsia="zh-CN"/>
        </w:rPr>
        <w:t>报价文件不完整；</w:t>
      </w:r>
    </w:p>
    <w:p w14:paraId="099434D1">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（4）未按规定报价或最终报价超过采购预算；</w:t>
      </w:r>
    </w:p>
    <w:p w14:paraId="15BAF279">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（5）未按谈判文件要求提交报价保证金；</w:t>
      </w:r>
    </w:p>
    <w:p w14:paraId="3FF4B671">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（6）报价文件未按谈判文件要求密封、签署、装订、盖章；</w:t>
      </w:r>
    </w:p>
    <w:p w14:paraId="2A07E684">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（7）报价文件载明的交货时间超过谈判文件规定的时间且不能被采购人接受；</w:t>
      </w:r>
    </w:p>
    <w:p w14:paraId="0C232B26">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（8）报价文件载明的服务检验标准和方法等不符合谈判文件的要求；</w:t>
      </w:r>
    </w:p>
    <w:p w14:paraId="3C3B1870">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（9）报价文件中的服务配置、技术参数明显不符合谈判文件要求；</w:t>
      </w:r>
    </w:p>
    <w:p w14:paraId="42254D0A">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（10）响应文件未实质性响应竞争性谈判文件规定的格式、内容；</w:t>
      </w:r>
    </w:p>
    <w:p w14:paraId="2C0955FF">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（11）附有采购人不能接受的条件或不响应竞争性谈判文件规定的内容。</w:t>
      </w:r>
    </w:p>
    <w:p w14:paraId="7D34D78C">
      <w:pPr>
        <w:spacing w:line="360" w:lineRule="auto"/>
        <w:ind w:firstLine="480" w:firstLineChars="200"/>
        <w:rPr>
          <w:sz w:val="24"/>
          <w:lang w:eastAsia="zh-CN"/>
        </w:rPr>
      </w:pPr>
      <w:r>
        <w:rPr>
          <w:rFonts w:hint="eastAsia" w:ascii="宋体" w:hAnsi="宋体" w:eastAsia="宋体" w:cs="宋体"/>
          <w:sz w:val="24"/>
          <w:lang w:eastAsia="zh-CN"/>
        </w:rPr>
        <w:t>（12）</w:t>
      </w:r>
      <w:r>
        <w:rPr>
          <w:rFonts w:hAnsi="宋体"/>
          <w:sz w:val="24"/>
          <w:lang w:eastAsia="zh-CN"/>
        </w:rPr>
        <w:t>法律、法规规定的其他情况。</w:t>
      </w:r>
    </w:p>
    <w:p w14:paraId="6F3E13BD">
      <w:pPr>
        <w:spacing w:line="360" w:lineRule="auto"/>
        <w:ind w:firstLine="480" w:firstLineChars="200"/>
        <w:rPr>
          <w:sz w:val="24"/>
          <w:lang w:eastAsia="zh-CN"/>
        </w:rPr>
      </w:pPr>
      <w:r>
        <w:rPr>
          <w:rFonts w:hint="eastAsia"/>
          <w:sz w:val="24"/>
          <w:lang w:eastAsia="zh-CN"/>
        </w:rPr>
        <w:t>6.1.3</w:t>
      </w:r>
      <w:r>
        <w:rPr>
          <w:sz w:val="24"/>
          <w:lang w:eastAsia="zh-CN"/>
        </w:rPr>
        <w:t>.2</w:t>
      </w:r>
      <w:r>
        <w:rPr>
          <w:rFonts w:hAnsi="宋体"/>
          <w:sz w:val="24"/>
          <w:lang w:eastAsia="zh-CN"/>
        </w:rPr>
        <w:t>供应商有下列情况之一者，其报价</w:t>
      </w:r>
      <w:r>
        <w:rPr>
          <w:rFonts w:hint="eastAsia" w:hAnsi="宋体"/>
          <w:sz w:val="24"/>
          <w:lang w:eastAsia="zh-CN"/>
        </w:rPr>
        <w:t>无效</w:t>
      </w:r>
      <w:r>
        <w:rPr>
          <w:rFonts w:hAnsi="宋体"/>
          <w:sz w:val="24"/>
          <w:lang w:eastAsia="zh-CN"/>
        </w:rPr>
        <w:t>，</w:t>
      </w:r>
      <w:r>
        <w:rPr>
          <w:rFonts w:hint="eastAsia"/>
          <w:sz w:val="24"/>
          <w:lang w:eastAsia="zh-CN"/>
        </w:rPr>
        <w:t>谈判</w:t>
      </w:r>
      <w:r>
        <w:rPr>
          <w:rFonts w:hAnsi="宋体"/>
          <w:sz w:val="24"/>
          <w:lang w:eastAsia="zh-CN"/>
        </w:rPr>
        <w:t>保证金将被没收：</w:t>
      </w:r>
    </w:p>
    <w:p w14:paraId="3B88197E">
      <w:pPr>
        <w:spacing w:line="360" w:lineRule="auto"/>
        <w:ind w:firstLine="480" w:firstLineChars="200"/>
        <w:rPr>
          <w:sz w:val="24"/>
          <w:lang w:eastAsia="zh-CN"/>
        </w:rPr>
      </w:pPr>
      <w:r>
        <w:rPr>
          <w:rFonts w:hAnsi="宋体"/>
          <w:sz w:val="24"/>
          <w:lang w:eastAsia="zh-CN"/>
        </w:rPr>
        <w:t>（</w:t>
      </w:r>
      <w:r>
        <w:rPr>
          <w:sz w:val="24"/>
          <w:lang w:eastAsia="zh-CN"/>
        </w:rPr>
        <w:t>1</w:t>
      </w:r>
      <w:r>
        <w:rPr>
          <w:rFonts w:hAnsi="宋体"/>
          <w:sz w:val="24"/>
          <w:lang w:eastAsia="zh-CN"/>
        </w:rPr>
        <w:t>）供应商向谈判小组、谈判工作有关的人员提供不正当利益；</w:t>
      </w:r>
    </w:p>
    <w:p w14:paraId="6F46DCE6">
      <w:pPr>
        <w:spacing w:line="360" w:lineRule="auto"/>
        <w:ind w:firstLine="480" w:firstLineChars="200"/>
        <w:rPr>
          <w:sz w:val="24"/>
          <w:lang w:eastAsia="zh-CN"/>
        </w:rPr>
      </w:pPr>
      <w:r>
        <w:rPr>
          <w:rFonts w:hAnsi="宋体"/>
          <w:sz w:val="24"/>
          <w:lang w:eastAsia="zh-CN"/>
        </w:rPr>
        <w:t>（</w:t>
      </w:r>
      <w:r>
        <w:rPr>
          <w:sz w:val="24"/>
          <w:lang w:eastAsia="zh-CN"/>
        </w:rPr>
        <w:t>2</w:t>
      </w:r>
      <w:r>
        <w:rPr>
          <w:rFonts w:hAnsi="宋体"/>
          <w:sz w:val="24"/>
          <w:lang w:eastAsia="zh-CN"/>
        </w:rPr>
        <w:t>）成交供应商不按谈判文件规定的要求签订合同；</w:t>
      </w:r>
    </w:p>
    <w:p w14:paraId="0C955380">
      <w:pPr>
        <w:spacing w:line="360" w:lineRule="auto"/>
        <w:ind w:firstLine="480" w:firstLineChars="200"/>
        <w:rPr>
          <w:sz w:val="24"/>
          <w:lang w:eastAsia="zh-CN"/>
        </w:rPr>
      </w:pPr>
      <w:r>
        <w:rPr>
          <w:rFonts w:hAnsi="宋体"/>
          <w:sz w:val="24"/>
          <w:lang w:eastAsia="zh-CN"/>
        </w:rPr>
        <w:t>（</w:t>
      </w:r>
      <w:r>
        <w:rPr>
          <w:sz w:val="24"/>
          <w:lang w:eastAsia="zh-CN"/>
        </w:rPr>
        <w:t>3</w:t>
      </w:r>
      <w:r>
        <w:rPr>
          <w:rFonts w:hAnsi="宋体"/>
          <w:sz w:val="24"/>
          <w:lang w:eastAsia="zh-CN"/>
        </w:rPr>
        <w:t>）成交供应商未按规定交纳相关费用；</w:t>
      </w:r>
    </w:p>
    <w:p w14:paraId="57B1175C">
      <w:pPr>
        <w:spacing w:line="360" w:lineRule="auto"/>
        <w:ind w:firstLine="480" w:firstLineChars="200"/>
        <w:rPr>
          <w:sz w:val="24"/>
          <w:lang w:eastAsia="zh-CN"/>
        </w:rPr>
      </w:pPr>
      <w:r>
        <w:rPr>
          <w:rFonts w:hAnsi="宋体"/>
          <w:sz w:val="24"/>
          <w:lang w:eastAsia="zh-CN"/>
        </w:rPr>
        <w:t>（</w:t>
      </w:r>
      <w:r>
        <w:rPr>
          <w:sz w:val="24"/>
          <w:lang w:eastAsia="zh-CN"/>
        </w:rPr>
        <w:t>4</w:t>
      </w:r>
      <w:r>
        <w:rPr>
          <w:rFonts w:hAnsi="宋体"/>
          <w:sz w:val="24"/>
          <w:lang w:eastAsia="zh-CN"/>
        </w:rPr>
        <w:t>）法律、法规规定的其他情况。</w:t>
      </w:r>
    </w:p>
    <w:p w14:paraId="3FDA17A9">
      <w:pPr>
        <w:spacing w:line="360" w:lineRule="auto"/>
        <w:ind w:firstLine="480" w:firstLineChars="200"/>
        <w:rPr>
          <w:sz w:val="24"/>
          <w:lang w:eastAsia="zh-CN"/>
        </w:rPr>
      </w:pPr>
      <w:r>
        <w:rPr>
          <w:rFonts w:hint="eastAsia"/>
          <w:sz w:val="24"/>
          <w:lang w:eastAsia="zh-CN"/>
        </w:rPr>
        <w:t>6.1.3.</w:t>
      </w:r>
      <w:r>
        <w:rPr>
          <w:sz w:val="24"/>
          <w:lang w:eastAsia="zh-CN"/>
        </w:rPr>
        <w:t>3</w:t>
      </w:r>
      <w:r>
        <w:rPr>
          <w:rFonts w:hAnsi="宋体"/>
          <w:sz w:val="24"/>
          <w:lang w:eastAsia="zh-CN"/>
        </w:rPr>
        <w:t>供应商有下列情况之一者，其报价</w:t>
      </w:r>
      <w:r>
        <w:rPr>
          <w:rFonts w:hint="eastAsia" w:hAnsi="宋体"/>
          <w:sz w:val="24"/>
          <w:lang w:eastAsia="zh-CN"/>
        </w:rPr>
        <w:t>无效</w:t>
      </w:r>
      <w:r>
        <w:rPr>
          <w:rFonts w:hAnsi="宋体"/>
          <w:sz w:val="24"/>
          <w:lang w:eastAsia="zh-CN"/>
        </w:rPr>
        <w:t>，将取消其报价资格并负法律责任：</w:t>
      </w:r>
    </w:p>
    <w:p w14:paraId="2CCA962C">
      <w:pPr>
        <w:spacing w:line="360" w:lineRule="auto"/>
        <w:ind w:firstLine="480" w:firstLineChars="200"/>
        <w:rPr>
          <w:sz w:val="24"/>
          <w:lang w:eastAsia="zh-CN"/>
        </w:rPr>
      </w:pPr>
      <w:r>
        <w:rPr>
          <w:rFonts w:hAnsi="宋体"/>
          <w:sz w:val="24"/>
          <w:lang w:eastAsia="zh-CN"/>
        </w:rPr>
        <w:t>（</w:t>
      </w:r>
      <w:r>
        <w:rPr>
          <w:sz w:val="24"/>
          <w:lang w:eastAsia="zh-CN"/>
        </w:rPr>
        <w:t>1</w:t>
      </w:r>
      <w:r>
        <w:rPr>
          <w:rFonts w:hAnsi="宋体"/>
          <w:sz w:val="24"/>
          <w:lang w:eastAsia="zh-CN"/>
        </w:rPr>
        <w:t>）供应商提供的有关资格、资质证明文件不真实，提供虚假报价材料；</w:t>
      </w:r>
    </w:p>
    <w:p w14:paraId="72EFDF69">
      <w:pPr>
        <w:spacing w:line="360" w:lineRule="auto"/>
        <w:ind w:firstLine="480" w:firstLineChars="200"/>
        <w:rPr>
          <w:sz w:val="24"/>
          <w:lang w:eastAsia="zh-CN"/>
        </w:rPr>
      </w:pPr>
      <w:r>
        <w:rPr>
          <w:rFonts w:hAnsi="宋体"/>
          <w:sz w:val="24"/>
          <w:lang w:eastAsia="zh-CN"/>
        </w:rPr>
        <w:t>（</w:t>
      </w:r>
      <w:r>
        <w:rPr>
          <w:sz w:val="24"/>
          <w:lang w:eastAsia="zh-CN"/>
        </w:rPr>
        <w:t>2</w:t>
      </w:r>
      <w:r>
        <w:rPr>
          <w:rFonts w:hAnsi="宋体"/>
          <w:sz w:val="24"/>
          <w:lang w:eastAsia="zh-CN"/>
        </w:rPr>
        <w:t>）供应商在报价有效期内撤回报价；</w:t>
      </w:r>
    </w:p>
    <w:p w14:paraId="775ABFA5">
      <w:pPr>
        <w:spacing w:line="360" w:lineRule="auto"/>
        <w:ind w:firstLine="480" w:firstLineChars="200"/>
        <w:rPr>
          <w:sz w:val="24"/>
          <w:lang w:eastAsia="zh-CN"/>
        </w:rPr>
      </w:pPr>
      <w:r>
        <w:rPr>
          <w:rFonts w:hAnsi="宋体"/>
          <w:sz w:val="24"/>
          <w:lang w:eastAsia="zh-CN"/>
        </w:rPr>
        <w:t>（</w:t>
      </w:r>
      <w:r>
        <w:rPr>
          <w:sz w:val="24"/>
          <w:lang w:eastAsia="zh-CN"/>
        </w:rPr>
        <w:t>3</w:t>
      </w:r>
      <w:r>
        <w:rPr>
          <w:rFonts w:hAnsi="宋体"/>
          <w:sz w:val="24"/>
          <w:lang w:eastAsia="zh-CN"/>
        </w:rPr>
        <w:t>）在整个谈判过程中，供应商有企图影响谈判结果的任何不当活动；</w:t>
      </w:r>
    </w:p>
    <w:p w14:paraId="6F770A8F">
      <w:pPr>
        <w:spacing w:line="360" w:lineRule="auto"/>
        <w:ind w:firstLine="480" w:firstLineChars="200"/>
        <w:rPr>
          <w:sz w:val="24"/>
          <w:lang w:eastAsia="zh-CN"/>
        </w:rPr>
      </w:pPr>
      <w:r>
        <w:rPr>
          <w:rFonts w:hAnsi="宋体"/>
          <w:sz w:val="24"/>
          <w:lang w:eastAsia="zh-CN"/>
        </w:rPr>
        <w:t>（</w:t>
      </w:r>
      <w:r>
        <w:rPr>
          <w:sz w:val="24"/>
          <w:lang w:eastAsia="zh-CN"/>
        </w:rPr>
        <w:t>4</w:t>
      </w:r>
      <w:r>
        <w:rPr>
          <w:rFonts w:hAnsi="宋体"/>
          <w:sz w:val="24"/>
          <w:lang w:eastAsia="zh-CN"/>
        </w:rPr>
        <w:t>）供应商串通报价或采用不正当竞争方式；</w:t>
      </w:r>
    </w:p>
    <w:p w14:paraId="44DD0643">
      <w:pPr>
        <w:spacing w:line="360" w:lineRule="auto"/>
        <w:ind w:firstLine="480" w:firstLineChars="200"/>
        <w:rPr>
          <w:sz w:val="24"/>
          <w:lang w:eastAsia="zh-CN"/>
        </w:rPr>
      </w:pPr>
      <w:r>
        <w:rPr>
          <w:rFonts w:hAnsi="宋体"/>
          <w:sz w:val="24"/>
          <w:lang w:eastAsia="zh-CN"/>
        </w:rPr>
        <w:t>（</w:t>
      </w:r>
      <w:r>
        <w:rPr>
          <w:sz w:val="24"/>
          <w:lang w:eastAsia="zh-CN"/>
        </w:rPr>
        <w:t>5</w:t>
      </w:r>
      <w:r>
        <w:rPr>
          <w:rFonts w:hAnsi="宋体"/>
          <w:sz w:val="24"/>
          <w:lang w:eastAsia="zh-CN"/>
        </w:rPr>
        <w:t>）供应商以任何方式诋毁其他供应商；</w:t>
      </w:r>
    </w:p>
    <w:p w14:paraId="6E460AFC">
      <w:pPr>
        <w:spacing w:line="360" w:lineRule="auto"/>
        <w:ind w:firstLine="480" w:firstLineChars="200"/>
        <w:rPr>
          <w:sz w:val="24"/>
          <w:lang w:eastAsia="zh-CN"/>
        </w:rPr>
      </w:pPr>
      <w:r>
        <w:rPr>
          <w:rFonts w:hAnsi="宋体"/>
          <w:sz w:val="24"/>
          <w:lang w:eastAsia="zh-CN"/>
        </w:rPr>
        <w:t>（</w:t>
      </w:r>
      <w:r>
        <w:rPr>
          <w:sz w:val="24"/>
          <w:lang w:eastAsia="zh-CN"/>
        </w:rPr>
        <w:t>6</w:t>
      </w:r>
      <w:r>
        <w:rPr>
          <w:rFonts w:hAnsi="宋体"/>
          <w:sz w:val="24"/>
          <w:lang w:eastAsia="zh-CN"/>
        </w:rPr>
        <w:t>）法律、法规规定的其他情况。</w:t>
      </w:r>
    </w:p>
    <w:p w14:paraId="10204CCD">
      <w:pPr>
        <w:spacing w:line="360" w:lineRule="auto"/>
        <w:ind w:firstLine="480" w:firstLineChars="200"/>
        <w:rPr>
          <w:rFonts w:hAnsi="宋体"/>
          <w:sz w:val="24"/>
          <w:lang w:eastAsia="zh-CN"/>
        </w:rPr>
      </w:pPr>
      <w:r>
        <w:rPr>
          <w:rFonts w:hAnsi="宋体"/>
          <w:sz w:val="24"/>
          <w:lang w:eastAsia="zh-CN"/>
        </w:rPr>
        <w:t>供应商有上述行为之一的，采购人将严格依照有关法律、法规及规章的规定行使其权利。供应商给采购人造成损失的，采购人有索赔的权利，供应商应予以赔偿。</w:t>
      </w:r>
    </w:p>
    <w:p w14:paraId="422F13A3">
      <w:pPr>
        <w:spacing w:line="360" w:lineRule="auto"/>
        <w:ind w:firstLine="480" w:firstLineChars="200"/>
        <w:rPr>
          <w:rFonts w:hAnsi="宋体"/>
          <w:sz w:val="24"/>
          <w:lang w:eastAsia="zh-CN"/>
        </w:rPr>
      </w:pPr>
      <w:r>
        <w:rPr>
          <w:rFonts w:hint="eastAsia"/>
          <w:sz w:val="24"/>
          <w:lang w:eastAsia="zh-CN"/>
        </w:rPr>
        <w:t>6</w:t>
      </w:r>
      <w:r>
        <w:rPr>
          <w:sz w:val="24"/>
          <w:lang w:eastAsia="zh-CN"/>
        </w:rPr>
        <w:t>.</w:t>
      </w:r>
      <w:r>
        <w:rPr>
          <w:rFonts w:hint="eastAsia"/>
          <w:sz w:val="24"/>
          <w:lang w:eastAsia="zh-CN"/>
        </w:rPr>
        <w:t>1.4</w:t>
      </w:r>
      <w:r>
        <w:rPr>
          <w:rFonts w:hAnsi="宋体"/>
          <w:sz w:val="24"/>
          <w:lang w:eastAsia="zh-CN"/>
        </w:rPr>
        <w:t>响应文件计算错误的修正</w:t>
      </w:r>
    </w:p>
    <w:p w14:paraId="231132C7">
      <w:pPr>
        <w:spacing w:line="360" w:lineRule="auto"/>
        <w:ind w:firstLine="480" w:firstLineChars="200"/>
        <w:rPr>
          <w:sz w:val="24"/>
          <w:lang w:eastAsia="zh-CN"/>
        </w:rPr>
      </w:pPr>
      <w:r>
        <w:rPr>
          <w:rFonts w:hint="eastAsia"/>
          <w:sz w:val="24"/>
          <w:lang w:eastAsia="zh-CN"/>
        </w:rPr>
        <w:t>6.1</w:t>
      </w:r>
      <w:r>
        <w:rPr>
          <w:sz w:val="24"/>
          <w:lang w:eastAsia="zh-CN"/>
        </w:rPr>
        <w:t>.</w:t>
      </w:r>
      <w:r>
        <w:rPr>
          <w:rFonts w:hint="eastAsia"/>
          <w:sz w:val="24"/>
          <w:lang w:eastAsia="zh-CN"/>
        </w:rPr>
        <w:t>4.1</w:t>
      </w:r>
      <w:r>
        <w:rPr>
          <w:rFonts w:hAnsi="宋体"/>
          <w:sz w:val="24"/>
          <w:lang w:eastAsia="zh-CN"/>
        </w:rPr>
        <w:t>谈判小组将对确定为实质上响应竞争性谈判文件要求的响应文件进行校核，看其是否有计算或表达上的错误，修正错误的原则如下：</w:t>
      </w:r>
    </w:p>
    <w:p w14:paraId="65D5B89C">
      <w:pPr>
        <w:spacing w:line="360" w:lineRule="auto"/>
        <w:ind w:firstLine="480" w:firstLineChars="200"/>
        <w:rPr>
          <w:sz w:val="24"/>
          <w:lang w:eastAsia="zh-CN"/>
        </w:rPr>
      </w:pPr>
      <w:r>
        <w:rPr>
          <w:rFonts w:hAnsi="宋体"/>
          <w:sz w:val="24"/>
          <w:lang w:eastAsia="zh-CN"/>
        </w:rPr>
        <w:t>（</w:t>
      </w:r>
      <w:r>
        <w:rPr>
          <w:sz w:val="24"/>
          <w:lang w:eastAsia="zh-CN"/>
        </w:rPr>
        <w:t>1</w:t>
      </w:r>
      <w:r>
        <w:rPr>
          <w:rFonts w:hAnsi="宋体"/>
          <w:sz w:val="24"/>
          <w:lang w:eastAsia="zh-CN"/>
        </w:rPr>
        <w:t>）如果数字表示的金额和用文字表示的金额不一致时，应以文字表示的金额为准；</w:t>
      </w:r>
    </w:p>
    <w:p w14:paraId="53181AFA">
      <w:pPr>
        <w:spacing w:line="360" w:lineRule="auto"/>
        <w:ind w:firstLine="480" w:firstLineChars="200"/>
        <w:rPr>
          <w:sz w:val="24"/>
          <w:lang w:eastAsia="zh-CN"/>
        </w:rPr>
      </w:pPr>
      <w:r>
        <w:rPr>
          <w:rFonts w:hAnsi="宋体"/>
          <w:sz w:val="24"/>
          <w:lang w:eastAsia="zh-CN"/>
        </w:rPr>
        <w:t>（</w:t>
      </w:r>
      <w:r>
        <w:rPr>
          <w:sz w:val="24"/>
          <w:lang w:eastAsia="zh-CN"/>
        </w:rPr>
        <w:t>2</w:t>
      </w:r>
      <w:r>
        <w:rPr>
          <w:rFonts w:hAnsi="宋体"/>
          <w:sz w:val="24"/>
          <w:lang w:eastAsia="zh-CN"/>
        </w:rPr>
        <w:t>）当单价与数量的乘积与合价不一致时，以单价为准，除非谈判小组认为单价有明显的小数点错误，此时应以标出的合价为准，并修改单价。</w:t>
      </w:r>
    </w:p>
    <w:p w14:paraId="5ECFCEA5">
      <w:pPr>
        <w:spacing w:line="360" w:lineRule="auto"/>
        <w:ind w:firstLine="480" w:firstLineChars="200"/>
        <w:rPr>
          <w:sz w:val="24"/>
          <w:lang w:eastAsia="zh-CN"/>
        </w:rPr>
      </w:pPr>
      <w:r>
        <w:rPr>
          <w:rFonts w:hint="eastAsia"/>
          <w:sz w:val="24"/>
          <w:lang w:eastAsia="zh-CN"/>
        </w:rPr>
        <w:t>6</w:t>
      </w:r>
      <w:r>
        <w:rPr>
          <w:sz w:val="24"/>
          <w:lang w:eastAsia="zh-CN"/>
        </w:rPr>
        <w:t>.</w:t>
      </w:r>
      <w:r>
        <w:rPr>
          <w:rFonts w:hint="eastAsia"/>
          <w:sz w:val="24"/>
          <w:lang w:eastAsia="zh-CN"/>
        </w:rPr>
        <w:t>1</w:t>
      </w:r>
      <w:r>
        <w:rPr>
          <w:sz w:val="24"/>
          <w:lang w:eastAsia="zh-CN"/>
        </w:rPr>
        <w:t>.</w:t>
      </w:r>
      <w:r>
        <w:rPr>
          <w:rFonts w:hint="eastAsia"/>
          <w:sz w:val="24"/>
          <w:lang w:eastAsia="zh-CN"/>
        </w:rPr>
        <w:t>4.2</w:t>
      </w:r>
      <w:r>
        <w:rPr>
          <w:rFonts w:hAnsi="宋体"/>
          <w:sz w:val="24"/>
          <w:lang w:eastAsia="zh-CN"/>
        </w:rPr>
        <w:t>按上述修正错误的原则及方法调整或修正响应文件的报价，供应商同意后，调整后的报价对供应商起约束作用。如果供应商不接受修正后的报价，则其报价将被拒绝并且其报价保证金也将被没收，并不影响评审工作。</w:t>
      </w:r>
    </w:p>
    <w:p w14:paraId="65378A5F">
      <w:pPr>
        <w:spacing w:line="360" w:lineRule="auto"/>
        <w:ind w:firstLine="480" w:firstLineChars="200"/>
        <w:rPr>
          <w:sz w:val="24"/>
          <w:lang w:eastAsia="zh-CN"/>
        </w:rPr>
      </w:pPr>
      <w:r>
        <w:rPr>
          <w:rFonts w:hint="eastAsia"/>
          <w:sz w:val="24"/>
          <w:lang w:eastAsia="zh-CN"/>
        </w:rPr>
        <w:t>6.1.5</w:t>
      </w:r>
      <w:r>
        <w:rPr>
          <w:rFonts w:hAnsi="宋体"/>
          <w:sz w:val="24"/>
          <w:lang w:eastAsia="zh-CN"/>
        </w:rPr>
        <w:t>谈判</w:t>
      </w:r>
    </w:p>
    <w:p w14:paraId="1EC45713">
      <w:pPr>
        <w:spacing w:line="360" w:lineRule="auto"/>
        <w:ind w:firstLine="480" w:firstLineChars="200"/>
        <w:rPr>
          <w:sz w:val="24"/>
          <w:lang w:eastAsia="zh-CN"/>
        </w:rPr>
      </w:pPr>
      <w:r>
        <w:rPr>
          <w:rFonts w:hAnsi="宋体"/>
          <w:sz w:val="24"/>
          <w:lang w:eastAsia="zh-CN"/>
        </w:rPr>
        <w:t>在详细审阅各供应商的响应文件之后，谈判小组可根据各供应商响应文件编制情况组织谈判。供应商在接到采购代理机构的谈判通知后，应组织相关人员出席谈判。谈判时，由谈判小组提出问题，供应商应首先作出口头解答，然后形成书面文字，经授权代表签字后，在规定的时间内提交给谈判小组。</w:t>
      </w:r>
    </w:p>
    <w:p w14:paraId="6D4D3157">
      <w:pPr>
        <w:spacing w:line="360" w:lineRule="auto"/>
        <w:ind w:firstLine="480" w:firstLineChars="200"/>
        <w:rPr>
          <w:sz w:val="24"/>
          <w:lang w:eastAsia="zh-CN"/>
        </w:rPr>
      </w:pPr>
      <w:r>
        <w:rPr>
          <w:rFonts w:hint="eastAsia"/>
          <w:sz w:val="24"/>
          <w:lang w:eastAsia="zh-CN"/>
        </w:rPr>
        <w:t>6.1.6</w:t>
      </w:r>
      <w:r>
        <w:rPr>
          <w:rFonts w:hAnsi="宋体"/>
          <w:sz w:val="24"/>
          <w:lang w:eastAsia="zh-CN"/>
        </w:rPr>
        <w:t>最终报价</w:t>
      </w:r>
    </w:p>
    <w:p w14:paraId="456AD4B6">
      <w:pPr>
        <w:spacing w:line="360" w:lineRule="auto"/>
        <w:ind w:firstLine="480" w:firstLineChars="200"/>
        <w:rPr>
          <w:rFonts w:ascii="宋体" w:hAnsi="宋体"/>
          <w:sz w:val="24"/>
          <w:lang w:eastAsia="zh-CN"/>
        </w:rPr>
      </w:pPr>
      <w:r>
        <w:rPr>
          <w:rFonts w:hint="eastAsia" w:hAnsi="宋体"/>
          <w:sz w:val="24"/>
          <w:lang w:eastAsia="zh-CN"/>
        </w:rPr>
        <w:t>谈判小组所有成员集中与单一供应商分别进行谈判</w:t>
      </w:r>
      <w:r>
        <w:rPr>
          <w:rFonts w:hAnsi="宋体"/>
          <w:sz w:val="24"/>
          <w:lang w:eastAsia="zh-CN"/>
        </w:rPr>
        <w:t>，各供应商最终报价函必须经授权代表签字且按指定时间同时送达谈判小组，否则仍按原报价进行评审。</w:t>
      </w:r>
      <w:r>
        <w:rPr>
          <w:rFonts w:hint="eastAsia" w:hAnsi="宋体"/>
          <w:b/>
          <w:sz w:val="24"/>
          <w:lang w:eastAsia="zh-CN"/>
        </w:rPr>
        <w:t>多次报价中的优惠均有效，</w:t>
      </w:r>
      <w:r>
        <w:rPr>
          <w:rFonts w:hint="eastAsia" w:ascii="宋体" w:hAnsi="宋体" w:eastAsia="宋体" w:cs="Times New Roman"/>
          <w:sz w:val="24"/>
          <w:lang w:eastAsia="zh-CN"/>
        </w:rPr>
        <w:t>评审人员根据评分表内容对各个供应商进行打分，按照综合得分</w:t>
      </w:r>
      <w:r>
        <w:rPr>
          <w:rFonts w:hint="eastAsia" w:ascii="宋体" w:hAnsi="宋体"/>
          <w:sz w:val="24"/>
          <w:lang w:eastAsia="zh-CN"/>
        </w:rPr>
        <w:t>由高到低的顺序推荐</w:t>
      </w:r>
      <w:r>
        <w:rPr>
          <w:rFonts w:hint="eastAsia"/>
          <w:sz w:val="24"/>
          <w:lang w:eastAsia="zh-CN"/>
        </w:rPr>
        <w:t>2</w:t>
      </w:r>
      <w:r>
        <w:rPr>
          <w:rFonts w:hint="eastAsia" w:ascii="宋体" w:hAnsi="宋体"/>
          <w:sz w:val="24"/>
          <w:lang w:eastAsia="zh-CN"/>
        </w:rPr>
        <w:t>名成交候选人。</w:t>
      </w:r>
    </w:p>
    <w:p w14:paraId="2E6F1892">
      <w:pPr>
        <w:spacing w:line="360" w:lineRule="auto"/>
        <w:ind w:firstLine="480" w:firstLineChars="200"/>
        <w:rPr>
          <w:rFonts w:ascii="宋体" w:hAnsi="宋体"/>
          <w:sz w:val="24"/>
          <w:lang w:eastAsia="zh-CN"/>
        </w:rPr>
      </w:pPr>
      <w:r>
        <w:rPr>
          <w:rFonts w:hint="eastAsia" w:ascii="宋体" w:hAnsi="宋体"/>
          <w:sz w:val="24"/>
          <w:lang w:eastAsia="zh-CN"/>
        </w:rPr>
        <w:t>采购人从评审报告提出的成交候选人中，根据质量和服务均能满足谈判文件实质性响应要求且综合得分最高的原则确定成交供应商。</w:t>
      </w:r>
    </w:p>
    <w:p w14:paraId="770E5355">
      <w:pPr>
        <w:spacing w:line="360" w:lineRule="auto"/>
        <w:ind w:firstLine="480" w:firstLineChars="200"/>
        <w:rPr>
          <w:rFonts w:ascii="宋体" w:hAnsi="宋体"/>
          <w:sz w:val="24"/>
          <w:lang w:eastAsia="zh-CN"/>
        </w:rPr>
      </w:pPr>
      <w:r>
        <w:rPr>
          <w:rFonts w:hint="eastAsia" w:ascii="宋体" w:hAnsi="宋体"/>
          <w:sz w:val="24"/>
          <w:lang w:eastAsia="zh-CN"/>
        </w:rPr>
        <w:t>当确定的成交供应商放弃成交或者因不可抗力提出不能履行合同时，采购人有权将合同授予报价排名第二的成交(候选)供应商，或重新采购。</w:t>
      </w:r>
    </w:p>
    <w:p w14:paraId="7B9FC9DA">
      <w:pPr>
        <w:spacing w:line="360" w:lineRule="auto"/>
        <w:ind w:firstLine="480" w:firstLineChars="200"/>
        <w:rPr>
          <w:sz w:val="24"/>
          <w:lang w:eastAsia="zh-CN"/>
        </w:rPr>
      </w:pPr>
      <w:r>
        <w:rPr>
          <w:rFonts w:hint="eastAsia"/>
          <w:sz w:val="24"/>
          <w:lang w:eastAsia="zh-CN"/>
        </w:rPr>
        <w:t>6.2、谈判小组经评审，认为所有报价都不符合竞争性谈判文件的要求的，可以否决所有报价，采购人将依法重新组织采购。</w:t>
      </w:r>
    </w:p>
    <w:p w14:paraId="3C0FB8A4">
      <w:pPr>
        <w:pStyle w:val="22"/>
        <w:rPr>
          <w:rStyle w:val="29"/>
          <w:rFonts w:hint="eastAsia"/>
          <w:b/>
          <w:bCs/>
          <w:lang w:eastAsia="zh-CN"/>
        </w:rPr>
      </w:pPr>
      <w:r>
        <w:rPr>
          <w:rStyle w:val="29"/>
          <w:rFonts w:hint="eastAsia"/>
          <w:b/>
          <w:bCs/>
          <w:lang w:eastAsia="zh-CN"/>
        </w:rPr>
        <w:t>7.合同授予</w:t>
      </w:r>
      <w:bookmarkEnd w:id="71"/>
      <w:bookmarkEnd w:id="72"/>
    </w:p>
    <w:p w14:paraId="422B3C93">
      <w:pPr>
        <w:pStyle w:val="27"/>
        <w:rPr>
          <w:lang w:eastAsia="zh-CN"/>
        </w:rPr>
      </w:pPr>
      <w:bookmarkStart w:id="73" w:name="_Toc506105855"/>
      <w:bookmarkStart w:id="74" w:name="_Toc507936047"/>
      <w:r>
        <w:rPr>
          <w:rFonts w:hint="eastAsia"/>
          <w:lang w:eastAsia="zh-CN"/>
        </w:rPr>
        <w:t>7.1成交方式</w:t>
      </w:r>
      <w:bookmarkEnd w:id="73"/>
      <w:bookmarkEnd w:id="74"/>
    </w:p>
    <w:p w14:paraId="0FBFBACF">
      <w:pPr>
        <w:spacing w:line="360" w:lineRule="auto"/>
        <w:ind w:firstLine="480"/>
        <w:rPr>
          <w:rFonts w:ascii="宋体" w:hAnsi="宋体" w:cs="仿宋"/>
          <w:sz w:val="24"/>
          <w:lang w:eastAsia="zh-CN"/>
        </w:rPr>
      </w:pPr>
      <w:r>
        <w:rPr>
          <w:rFonts w:hint="eastAsia" w:cs="仿宋"/>
          <w:sz w:val="24"/>
          <w:lang w:eastAsia="zh-CN"/>
        </w:rPr>
        <w:t>采购</w:t>
      </w:r>
      <w:r>
        <w:rPr>
          <w:rFonts w:hint="eastAsia" w:ascii="宋体" w:hAnsi="宋体" w:cs="仿宋"/>
          <w:sz w:val="24"/>
          <w:lang w:eastAsia="zh-CN"/>
        </w:rPr>
        <w:t>人根据评</w:t>
      </w:r>
      <w:r>
        <w:rPr>
          <w:rFonts w:hint="eastAsia" w:cs="仿宋"/>
          <w:sz w:val="24"/>
          <w:lang w:eastAsia="zh-CN"/>
        </w:rPr>
        <w:t>审</w:t>
      </w:r>
      <w:r>
        <w:rPr>
          <w:rFonts w:hint="eastAsia" w:ascii="宋体" w:hAnsi="宋体" w:cs="仿宋"/>
          <w:sz w:val="24"/>
          <w:lang w:eastAsia="zh-CN"/>
        </w:rPr>
        <w:t>报告中推荐的</w:t>
      </w:r>
      <w:r>
        <w:rPr>
          <w:rFonts w:hint="eastAsia" w:cs="仿宋"/>
          <w:sz w:val="24"/>
          <w:lang w:eastAsia="zh-CN"/>
        </w:rPr>
        <w:t>成交</w:t>
      </w:r>
      <w:r>
        <w:rPr>
          <w:rFonts w:hint="eastAsia" w:ascii="宋体" w:hAnsi="宋体" w:cs="仿宋"/>
          <w:sz w:val="24"/>
          <w:lang w:eastAsia="zh-CN"/>
        </w:rPr>
        <w:t>人候选人择优选定</w:t>
      </w:r>
      <w:r>
        <w:rPr>
          <w:rFonts w:hint="eastAsia" w:cs="仿宋"/>
          <w:sz w:val="24"/>
          <w:lang w:eastAsia="zh-CN"/>
        </w:rPr>
        <w:t>成交</w:t>
      </w:r>
      <w:r>
        <w:rPr>
          <w:rFonts w:hint="eastAsia" w:ascii="宋体" w:hAnsi="宋体" w:cs="仿宋"/>
          <w:sz w:val="24"/>
          <w:lang w:eastAsia="zh-CN"/>
        </w:rPr>
        <w:t>人。</w:t>
      </w:r>
    </w:p>
    <w:p w14:paraId="496E3DC9">
      <w:pPr>
        <w:pStyle w:val="27"/>
        <w:rPr>
          <w:lang w:eastAsia="zh-CN"/>
        </w:rPr>
      </w:pPr>
      <w:bookmarkStart w:id="75" w:name="_Toc506105856"/>
      <w:bookmarkStart w:id="76" w:name="_Toc507936048"/>
      <w:r>
        <w:rPr>
          <w:rFonts w:hint="eastAsia"/>
          <w:lang w:eastAsia="zh-CN"/>
        </w:rPr>
        <w:t>7.2成交通知</w:t>
      </w:r>
      <w:bookmarkEnd w:id="75"/>
      <w:bookmarkEnd w:id="76"/>
    </w:p>
    <w:p w14:paraId="254536C4">
      <w:pPr>
        <w:spacing w:line="360" w:lineRule="auto"/>
        <w:ind w:firstLine="480" w:firstLineChars="200"/>
        <w:rPr>
          <w:rFonts w:ascii="宋体" w:hAnsi="宋体" w:cs="仿宋"/>
          <w:sz w:val="24"/>
          <w:lang w:eastAsia="zh-CN"/>
        </w:rPr>
      </w:pPr>
      <w:bookmarkStart w:id="77" w:name="_Toc507936049"/>
      <w:bookmarkStart w:id="78" w:name="_Toc506105857"/>
      <w:r>
        <w:rPr>
          <w:rFonts w:hint="eastAsia" w:cs="仿宋"/>
          <w:sz w:val="24"/>
          <w:lang w:eastAsia="zh-CN"/>
        </w:rPr>
        <w:t>成交</w:t>
      </w:r>
      <w:r>
        <w:rPr>
          <w:rFonts w:hint="eastAsia" w:ascii="宋体" w:hAnsi="宋体" w:cs="仿宋"/>
          <w:sz w:val="24"/>
          <w:lang w:eastAsia="zh-CN"/>
        </w:rPr>
        <w:t>结果通过</w:t>
      </w:r>
      <w:r>
        <w:rPr>
          <w:rFonts w:hint="eastAsia" w:eastAsia="宋体" w:cs="宋体"/>
          <w:sz w:val="24"/>
          <w:lang w:eastAsia="zh-CN"/>
        </w:rPr>
        <w:t>济钢集团有限公司阳光购销平台</w:t>
      </w:r>
      <w:r>
        <w:rPr>
          <w:rFonts w:hint="eastAsia" w:ascii="宋体" w:hAnsi="宋体" w:cs="仿宋"/>
          <w:sz w:val="24"/>
          <w:lang w:eastAsia="zh-CN"/>
        </w:rPr>
        <w:t>公示。公示期结束后，</w:t>
      </w:r>
      <w:r>
        <w:rPr>
          <w:rFonts w:hint="eastAsia" w:cs="仿宋"/>
          <w:sz w:val="24"/>
          <w:lang w:eastAsia="zh-CN"/>
        </w:rPr>
        <w:t>采购</w:t>
      </w:r>
      <w:r>
        <w:rPr>
          <w:rFonts w:hint="eastAsia" w:ascii="宋体" w:hAnsi="宋体" w:cs="仿宋"/>
          <w:sz w:val="24"/>
          <w:lang w:eastAsia="zh-CN"/>
        </w:rPr>
        <w:t>人以书面形式向</w:t>
      </w:r>
      <w:r>
        <w:rPr>
          <w:rFonts w:hint="eastAsia" w:cs="仿宋"/>
          <w:sz w:val="24"/>
          <w:lang w:eastAsia="zh-CN"/>
        </w:rPr>
        <w:t>成交</w:t>
      </w:r>
      <w:r>
        <w:rPr>
          <w:rFonts w:hint="eastAsia" w:ascii="宋体" w:hAnsi="宋体" w:cs="仿宋"/>
          <w:sz w:val="24"/>
          <w:lang w:eastAsia="zh-CN"/>
        </w:rPr>
        <w:t>人发出</w:t>
      </w:r>
      <w:r>
        <w:rPr>
          <w:rFonts w:hint="eastAsia" w:cs="仿宋"/>
          <w:sz w:val="24"/>
          <w:lang w:eastAsia="zh-CN"/>
        </w:rPr>
        <w:t>成交</w:t>
      </w:r>
      <w:r>
        <w:rPr>
          <w:rFonts w:hint="eastAsia" w:ascii="宋体" w:hAnsi="宋体" w:cs="仿宋"/>
          <w:sz w:val="24"/>
          <w:lang w:eastAsia="zh-CN"/>
        </w:rPr>
        <w:t>通知书</w:t>
      </w:r>
    </w:p>
    <w:p w14:paraId="6B52C282">
      <w:pPr>
        <w:pStyle w:val="27"/>
        <w:rPr>
          <w:lang w:eastAsia="zh-CN"/>
        </w:rPr>
      </w:pPr>
      <w:r>
        <w:rPr>
          <w:rFonts w:hint="eastAsia"/>
          <w:lang w:eastAsia="zh-CN"/>
        </w:rPr>
        <w:t>7.3履约担保</w:t>
      </w:r>
      <w:bookmarkEnd w:id="77"/>
      <w:bookmarkEnd w:id="78"/>
    </w:p>
    <w:p w14:paraId="60FCF61A">
      <w:pPr>
        <w:spacing w:line="360" w:lineRule="auto"/>
        <w:ind w:firstLine="480" w:firstLineChars="200"/>
        <w:rPr>
          <w:rFonts w:ascii="宋体" w:hAnsi="宋体" w:cs="仿宋"/>
          <w:sz w:val="24"/>
          <w:lang w:eastAsia="zh-CN"/>
        </w:rPr>
      </w:pPr>
      <w:r>
        <w:rPr>
          <w:rFonts w:hint="eastAsia" w:ascii="宋体" w:hAnsi="宋体" w:cs="仿宋"/>
          <w:sz w:val="24"/>
          <w:lang w:eastAsia="zh-CN"/>
        </w:rPr>
        <w:t>7.</w:t>
      </w:r>
      <w:r>
        <w:rPr>
          <w:rFonts w:hint="eastAsia" w:cs="仿宋"/>
          <w:sz w:val="24"/>
          <w:lang w:eastAsia="zh-CN"/>
        </w:rPr>
        <w:t>3</w:t>
      </w:r>
      <w:r>
        <w:rPr>
          <w:rFonts w:hint="eastAsia" w:ascii="宋体" w:hAnsi="宋体" w:cs="仿宋"/>
          <w:sz w:val="24"/>
          <w:lang w:eastAsia="zh-CN"/>
        </w:rPr>
        <w:t>.1 签订合同前，</w:t>
      </w:r>
      <w:r>
        <w:rPr>
          <w:rFonts w:hint="eastAsia" w:cs="仿宋"/>
          <w:sz w:val="24"/>
          <w:lang w:eastAsia="zh-CN"/>
        </w:rPr>
        <w:t>成交</w:t>
      </w:r>
      <w:r>
        <w:rPr>
          <w:rFonts w:hint="eastAsia" w:ascii="宋体" w:hAnsi="宋体" w:cs="仿宋"/>
          <w:sz w:val="24"/>
          <w:lang w:eastAsia="zh-CN"/>
        </w:rPr>
        <w:t>人应按</w:t>
      </w:r>
      <w:r>
        <w:rPr>
          <w:rFonts w:hint="eastAsia" w:cs="仿宋"/>
          <w:sz w:val="24"/>
          <w:lang w:eastAsia="zh-CN"/>
        </w:rPr>
        <w:t>谈判</w:t>
      </w:r>
      <w:r>
        <w:rPr>
          <w:rFonts w:hint="eastAsia" w:ascii="宋体" w:hAnsi="宋体" w:cs="仿宋"/>
          <w:sz w:val="24"/>
          <w:lang w:eastAsia="zh-CN"/>
        </w:rPr>
        <w:t>须知前附表规定向</w:t>
      </w:r>
      <w:r>
        <w:rPr>
          <w:rFonts w:hint="eastAsia" w:cs="仿宋"/>
          <w:sz w:val="24"/>
          <w:lang w:eastAsia="zh-CN"/>
        </w:rPr>
        <w:t>采购</w:t>
      </w:r>
      <w:r>
        <w:rPr>
          <w:rFonts w:hint="eastAsia" w:ascii="宋体" w:hAnsi="宋体" w:cs="仿宋"/>
          <w:sz w:val="24"/>
          <w:lang w:eastAsia="zh-CN"/>
        </w:rPr>
        <w:t>人提交履约担保。</w:t>
      </w:r>
    </w:p>
    <w:p w14:paraId="637A2D78">
      <w:pPr>
        <w:spacing w:line="360" w:lineRule="auto"/>
        <w:ind w:firstLine="480" w:firstLineChars="200"/>
        <w:rPr>
          <w:rFonts w:ascii="宋体" w:hAnsi="宋体" w:cs="仿宋"/>
          <w:bCs/>
          <w:sz w:val="24"/>
          <w:lang w:eastAsia="zh-CN"/>
        </w:rPr>
      </w:pPr>
      <w:r>
        <w:rPr>
          <w:rFonts w:hint="eastAsia" w:ascii="宋体" w:hAnsi="宋体" w:cs="仿宋"/>
          <w:bCs/>
          <w:sz w:val="24"/>
          <w:lang w:eastAsia="zh-CN"/>
        </w:rPr>
        <w:t>7.</w:t>
      </w:r>
      <w:r>
        <w:rPr>
          <w:rFonts w:hint="eastAsia" w:cs="仿宋"/>
          <w:bCs/>
          <w:sz w:val="24"/>
          <w:lang w:eastAsia="zh-CN"/>
        </w:rPr>
        <w:t>3</w:t>
      </w:r>
      <w:r>
        <w:rPr>
          <w:rFonts w:hint="eastAsia" w:ascii="宋体" w:hAnsi="宋体" w:cs="仿宋"/>
          <w:bCs/>
          <w:sz w:val="24"/>
          <w:lang w:eastAsia="zh-CN"/>
        </w:rPr>
        <w:t xml:space="preserve">.2 </w:t>
      </w:r>
      <w:r>
        <w:rPr>
          <w:rFonts w:hint="eastAsia" w:cs="仿宋"/>
          <w:sz w:val="24"/>
          <w:lang w:eastAsia="zh-CN"/>
        </w:rPr>
        <w:t>成交</w:t>
      </w:r>
      <w:r>
        <w:rPr>
          <w:rFonts w:hint="eastAsia" w:ascii="宋体" w:hAnsi="宋体" w:cs="仿宋"/>
          <w:bCs/>
          <w:sz w:val="24"/>
          <w:lang w:eastAsia="zh-CN"/>
        </w:rPr>
        <w:t>人不能按</w:t>
      </w:r>
      <w:r>
        <w:rPr>
          <w:rFonts w:hint="eastAsia" w:cs="仿宋"/>
          <w:sz w:val="24"/>
          <w:lang w:eastAsia="zh-CN"/>
        </w:rPr>
        <w:t>谈判邀请书</w:t>
      </w:r>
      <w:r>
        <w:rPr>
          <w:rFonts w:hint="eastAsia" w:ascii="宋体" w:hAnsi="宋体" w:cs="仿宋"/>
          <w:sz w:val="24"/>
          <w:lang w:eastAsia="zh-CN"/>
        </w:rPr>
        <w:t>规定</w:t>
      </w:r>
      <w:r>
        <w:rPr>
          <w:rFonts w:hint="eastAsia" w:ascii="宋体" w:hAnsi="宋体" w:cs="仿宋"/>
          <w:bCs/>
          <w:sz w:val="24"/>
          <w:lang w:eastAsia="zh-CN"/>
        </w:rPr>
        <w:t>要求提交履约担保的，视为放弃</w:t>
      </w:r>
      <w:r>
        <w:rPr>
          <w:rFonts w:hint="eastAsia" w:cs="仿宋"/>
          <w:sz w:val="24"/>
          <w:lang w:eastAsia="zh-CN"/>
        </w:rPr>
        <w:t>成交</w:t>
      </w:r>
      <w:r>
        <w:rPr>
          <w:rFonts w:hint="eastAsia" w:ascii="宋体" w:hAnsi="宋体" w:cs="仿宋"/>
          <w:bCs/>
          <w:sz w:val="24"/>
          <w:lang w:eastAsia="zh-CN"/>
        </w:rPr>
        <w:t>，其</w:t>
      </w:r>
      <w:r>
        <w:rPr>
          <w:rFonts w:hint="eastAsia" w:cs="仿宋"/>
          <w:bCs/>
          <w:sz w:val="24"/>
          <w:lang w:eastAsia="zh-CN"/>
        </w:rPr>
        <w:t>谈判</w:t>
      </w:r>
      <w:r>
        <w:rPr>
          <w:rFonts w:hint="eastAsia" w:ascii="宋体" w:hAnsi="宋体" w:cs="仿宋"/>
          <w:bCs/>
          <w:sz w:val="24"/>
          <w:lang w:eastAsia="zh-CN"/>
        </w:rPr>
        <w:t>保证金不予退还，给</w:t>
      </w:r>
      <w:r>
        <w:rPr>
          <w:rFonts w:hint="eastAsia" w:cs="仿宋"/>
          <w:bCs/>
          <w:sz w:val="24"/>
          <w:lang w:eastAsia="zh-CN"/>
        </w:rPr>
        <w:t>采购</w:t>
      </w:r>
      <w:r>
        <w:rPr>
          <w:rFonts w:hint="eastAsia" w:ascii="宋体" w:hAnsi="宋体" w:cs="仿宋"/>
          <w:bCs/>
          <w:sz w:val="24"/>
          <w:lang w:eastAsia="zh-CN"/>
        </w:rPr>
        <w:t>人造成的损失超过</w:t>
      </w:r>
      <w:r>
        <w:rPr>
          <w:rFonts w:hint="eastAsia" w:cs="仿宋"/>
          <w:bCs/>
          <w:sz w:val="24"/>
          <w:lang w:eastAsia="zh-CN"/>
        </w:rPr>
        <w:t>谈判</w:t>
      </w:r>
      <w:r>
        <w:rPr>
          <w:rFonts w:hint="eastAsia" w:ascii="宋体" w:hAnsi="宋体" w:cs="仿宋"/>
          <w:bCs/>
          <w:sz w:val="24"/>
          <w:lang w:eastAsia="zh-CN"/>
        </w:rPr>
        <w:t>保证金数额的，</w:t>
      </w:r>
      <w:r>
        <w:rPr>
          <w:rFonts w:hint="eastAsia" w:cs="仿宋"/>
          <w:sz w:val="24"/>
          <w:lang w:eastAsia="zh-CN"/>
        </w:rPr>
        <w:t>成交</w:t>
      </w:r>
      <w:r>
        <w:rPr>
          <w:rFonts w:hint="eastAsia" w:ascii="宋体" w:hAnsi="宋体" w:cs="仿宋"/>
          <w:bCs/>
          <w:sz w:val="24"/>
          <w:lang w:eastAsia="zh-CN"/>
        </w:rPr>
        <w:t>人还应当对超过部分予以赔偿。</w:t>
      </w:r>
    </w:p>
    <w:p w14:paraId="612F2F41">
      <w:pPr>
        <w:pStyle w:val="27"/>
        <w:rPr>
          <w:lang w:eastAsia="zh-CN"/>
        </w:rPr>
      </w:pPr>
      <w:r>
        <w:rPr>
          <w:rFonts w:hint="eastAsia"/>
          <w:lang w:eastAsia="zh-CN"/>
        </w:rPr>
        <w:t>7.4签订合同</w:t>
      </w:r>
    </w:p>
    <w:p w14:paraId="6A34C892">
      <w:pPr>
        <w:spacing w:line="360" w:lineRule="auto"/>
        <w:ind w:firstLine="420" w:firstLineChars="200"/>
        <w:rPr>
          <w:rFonts w:cs="仿宋"/>
          <w:lang w:eastAsia="zh-CN"/>
        </w:rPr>
      </w:pPr>
      <w:r>
        <w:rPr>
          <w:rFonts w:cs="仿宋"/>
          <w:lang w:eastAsia="zh-CN"/>
        </w:rPr>
        <w:t xml:space="preserve"> </w:t>
      </w:r>
      <w:r>
        <w:rPr>
          <w:rFonts w:hint="eastAsia" w:cs="仿宋"/>
          <w:lang w:eastAsia="zh-CN"/>
        </w:rPr>
        <w:t>应当在成交通知书发出之日起7日内，根据谈判文件和供应商的响应文件订立书面合同。</w:t>
      </w:r>
      <w:r>
        <w:rPr>
          <w:rFonts w:hint="eastAsia" w:cs="仿宋"/>
          <w:sz w:val="24"/>
          <w:lang w:eastAsia="zh-CN"/>
        </w:rPr>
        <w:t>供应商</w:t>
      </w:r>
      <w:r>
        <w:rPr>
          <w:rFonts w:hint="eastAsia" w:cs="仿宋"/>
          <w:lang w:eastAsia="zh-CN"/>
        </w:rPr>
        <w:t>无正当理由拒签合同，在签订合同时向采购人提出附加条件，或者不按照谈判文件要求提交履约保证金的，采购人有权取消其成交资格，其谈判保证金不予退还；给采购人造成的损失超过谈判保证金数额的，供应商还应当对超过部分予以赔偿。</w:t>
      </w:r>
    </w:p>
    <w:p w14:paraId="05FF81D4">
      <w:pPr>
        <w:pStyle w:val="22"/>
        <w:rPr>
          <w:rStyle w:val="29"/>
          <w:rFonts w:hint="eastAsia"/>
          <w:b/>
          <w:bCs/>
          <w:lang w:eastAsia="zh-CN"/>
        </w:rPr>
      </w:pPr>
      <w:bookmarkStart w:id="79" w:name="_Toc506105859"/>
      <w:bookmarkStart w:id="80" w:name="_Toc507936051"/>
      <w:r>
        <w:rPr>
          <w:rStyle w:val="29"/>
          <w:rFonts w:hint="eastAsia"/>
          <w:b/>
          <w:bCs/>
          <w:lang w:eastAsia="zh-CN"/>
        </w:rPr>
        <w:t>8.重新</w:t>
      </w:r>
      <w:bookmarkEnd w:id="79"/>
      <w:bookmarkEnd w:id="80"/>
      <w:bookmarkStart w:id="81" w:name="_Toc506105860"/>
      <w:r>
        <w:rPr>
          <w:rStyle w:val="29"/>
          <w:rFonts w:hint="eastAsia"/>
          <w:b/>
          <w:bCs/>
          <w:lang w:eastAsia="zh-CN"/>
        </w:rPr>
        <w:t>谈判</w:t>
      </w:r>
    </w:p>
    <w:bookmarkEnd w:id="81"/>
    <w:p w14:paraId="36244E00">
      <w:pPr>
        <w:pStyle w:val="27"/>
        <w:rPr>
          <w:rFonts w:hint="eastAsia" w:eastAsia="宋体"/>
          <w:lang w:eastAsia="zh-CN"/>
        </w:rPr>
      </w:pPr>
      <w:bookmarkStart w:id="82" w:name="_Toc507936052"/>
      <w:r>
        <w:rPr>
          <w:rFonts w:hint="eastAsia"/>
          <w:lang w:eastAsia="zh-CN"/>
        </w:rPr>
        <w:t>8.1重新</w:t>
      </w:r>
      <w:bookmarkEnd w:id="82"/>
      <w:r>
        <w:rPr>
          <w:rFonts w:hint="eastAsia"/>
          <w:lang w:eastAsia="zh-CN"/>
        </w:rPr>
        <w:t>谈判</w:t>
      </w:r>
    </w:p>
    <w:p w14:paraId="29D12161">
      <w:pPr>
        <w:spacing w:line="360" w:lineRule="auto"/>
        <w:rPr>
          <w:rFonts w:ascii="宋体" w:hAnsi="宋体" w:cs="仿宋"/>
          <w:sz w:val="28"/>
          <w:szCs w:val="28"/>
          <w:lang w:eastAsia="zh-CN"/>
        </w:rPr>
      </w:pPr>
      <w:r>
        <w:rPr>
          <w:rFonts w:hint="eastAsia" w:ascii="宋体" w:hAnsi="宋体" w:cs="仿宋"/>
          <w:sz w:val="24"/>
          <w:lang w:eastAsia="zh-CN"/>
        </w:rPr>
        <w:t>详见</w:t>
      </w:r>
      <w:r>
        <w:rPr>
          <w:rFonts w:hint="eastAsia" w:cs="仿宋"/>
          <w:sz w:val="24"/>
          <w:lang w:eastAsia="zh-CN"/>
        </w:rPr>
        <w:t>谈判</w:t>
      </w:r>
      <w:r>
        <w:rPr>
          <w:rFonts w:hint="eastAsia" w:ascii="宋体" w:hAnsi="宋体" w:cs="仿宋"/>
          <w:sz w:val="24"/>
          <w:lang w:eastAsia="zh-CN"/>
        </w:rPr>
        <w:t>须知前附表</w:t>
      </w:r>
    </w:p>
    <w:p w14:paraId="56FA55BC">
      <w:pPr>
        <w:pStyle w:val="22"/>
        <w:rPr>
          <w:rStyle w:val="29"/>
          <w:rFonts w:hint="eastAsia"/>
          <w:b/>
          <w:bCs/>
          <w:lang w:eastAsia="zh-CN"/>
        </w:rPr>
      </w:pPr>
      <w:bookmarkStart w:id="83" w:name="_Toc312072272"/>
      <w:bookmarkStart w:id="84" w:name="_Toc446434333"/>
      <w:bookmarkStart w:id="85" w:name="_Toc507936053"/>
      <w:bookmarkStart w:id="86" w:name="_Toc152042350"/>
      <w:bookmarkStart w:id="87" w:name="_Toc144974542"/>
      <w:bookmarkStart w:id="88" w:name="_Toc269310962"/>
      <w:bookmarkStart w:id="89" w:name="_Toc152045574"/>
      <w:r>
        <w:rPr>
          <w:rStyle w:val="29"/>
          <w:b/>
          <w:bCs/>
          <w:lang w:eastAsia="zh-CN"/>
        </w:rPr>
        <w:t>9.</w:t>
      </w:r>
      <w:r>
        <w:rPr>
          <w:rStyle w:val="29"/>
          <w:rFonts w:hint="eastAsia"/>
          <w:b/>
          <w:bCs/>
          <w:lang w:eastAsia="zh-CN"/>
        </w:rPr>
        <w:t>纪律和监督</w:t>
      </w:r>
      <w:bookmarkEnd w:id="83"/>
      <w:bookmarkEnd w:id="84"/>
      <w:bookmarkEnd w:id="85"/>
      <w:bookmarkEnd w:id="86"/>
      <w:bookmarkEnd w:id="87"/>
      <w:bookmarkEnd w:id="88"/>
      <w:bookmarkEnd w:id="89"/>
    </w:p>
    <w:p w14:paraId="5CB802C8">
      <w:pPr>
        <w:pStyle w:val="27"/>
        <w:rPr>
          <w:lang w:eastAsia="zh-CN"/>
        </w:rPr>
      </w:pPr>
      <w:bookmarkStart w:id="90" w:name="_Toc507936054"/>
      <w:bookmarkStart w:id="91" w:name="_Toc144974547"/>
      <w:bookmarkStart w:id="92" w:name="_Toc446434339"/>
      <w:bookmarkStart w:id="93" w:name="_Toc507936059"/>
      <w:bookmarkStart w:id="94" w:name="_Toc269310968"/>
      <w:bookmarkStart w:id="95" w:name="_Toc312072278"/>
      <w:bookmarkStart w:id="96" w:name="_Toc152045580"/>
      <w:bookmarkStart w:id="97" w:name="_Toc152042357"/>
      <w:r>
        <w:rPr>
          <w:rFonts w:hint="eastAsia"/>
          <w:lang w:eastAsia="zh-CN"/>
        </w:rPr>
        <w:t>9.1对采购人的纪律要求</w:t>
      </w:r>
      <w:bookmarkEnd w:id="90"/>
    </w:p>
    <w:p w14:paraId="1A4FABAB">
      <w:pPr>
        <w:spacing w:line="400" w:lineRule="exact"/>
        <w:ind w:firstLine="480" w:firstLineChars="200"/>
        <w:rPr>
          <w:sz w:val="24"/>
          <w:lang w:eastAsia="zh-CN"/>
        </w:rPr>
      </w:pPr>
      <w:r>
        <w:rPr>
          <w:rFonts w:hint="eastAsia" w:cs="宋体"/>
          <w:sz w:val="24"/>
          <w:lang w:eastAsia="zh-CN"/>
        </w:rPr>
        <w:t>采购人不得泄漏谈判活动中应当保密的情况和资料，不得与供应商串通损害国家利益、社会公共利益和他人合法权益。</w:t>
      </w:r>
    </w:p>
    <w:p w14:paraId="7D798001">
      <w:pPr>
        <w:pStyle w:val="27"/>
        <w:rPr>
          <w:lang w:eastAsia="zh-CN"/>
        </w:rPr>
      </w:pPr>
      <w:bookmarkStart w:id="98" w:name="_Toc507936055"/>
      <w:r>
        <w:rPr>
          <w:rFonts w:hint="eastAsia"/>
          <w:lang w:eastAsia="zh-CN"/>
        </w:rPr>
        <w:t>9.2对供应商的纪律要求</w:t>
      </w:r>
      <w:bookmarkEnd w:id="98"/>
    </w:p>
    <w:p w14:paraId="3930B21B">
      <w:pPr>
        <w:spacing w:line="400" w:lineRule="exact"/>
        <w:ind w:firstLine="480" w:firstLineChars="200"/>
        <w:rPr>
          <w:sz w:val="24"/>
          <w:lang w:eastAsia="zh-CN"/>
        </w:rPr>
      </w:pPr>
      <w:r>
        <w:rPr>
          <w:rFonts w:hint="eastAsia" w:cs="宋体"/>
          <w:sz w:val="24"/>
          <w:lang w:eastAsia="zh-CN"/>
        </w:rPr>
        <w:t>供应商不得相互串通或者与采购人串通，不得向采购人或者评审委员会成员行贿谋取</w:t>
      </w:r>
      <w:r>
        <w:rPr>
          <w:rFonts w:hint="eastAsia" w:cs="仿宋"/>
          <w:sz w:val="24"/>
          <w:lang w:eastAsia="zh-CN"/>
        </w:rPr>
        <w:t>成交</w:t>
      </w:r>
      <w:r>
        <w:rPr>
          <w:rFonts w:hint="eastAsia" w:cs="宋体"/>
          <w:sz w:val="24"/>
          <w:lang w:eastAsia="zh-CN"/>
        </w:rPr>
        <w:t>，不得以他人名义参加谈判或者以其他方式弄虚作假骗取</w:t>
      </w:r>
      <w:r>
        <w:rPr>
          <w:rFonts w:hint="eastAsia" w:cs="仿宋"/>
          <w:sz w:val="24"/>
          <w:lang w:eastAsia="zh-CN"/>
        </w:rPr>
        <w:t>成交</w:t>
      </w:r>
      <w:r>
        <w:rPr>
          <w:rFonts w:hint="eastAsia" w:cs="宋体"/>
          <w:sz w:val="24"/>
          <w:lang w:eastAsia="zh-CN"/>
        </w:rPr>
        <w:t>；供应商不得以任何方式干扰、影响评审工作。</w:t>
      </w:r>
    </w:p>
    <w:p w14:paraId="1C2D8682">
      <w:pPr>
        <w:pStyle w:val="27"/>
        <w:rPr>
          <w:lang w:eastAsia="zh-CN"/>
        </w:rPr>
      </w:pPr>
      <w:bookmarkStart w:id="99" w:name="_Toc507936056"/>
      <w:bookmarkStart w:id="100" w:name="_Toc312072275"/>
      <w:bookmarkStart w:id="101" w:name="_Toc446434336"/>
      <w:r>
        <w:rPr>
          <w:lang w:eastAsia="zh-CN"/>
        </w:rPr>
        <w:t xml:space="preserve">9.3 </w:t>
      </w:r>
      <w:r>
        <w:rPr>
          <w:rFonts w:hint="eastAsia"/>
          <w:lang w:eastAsia="zh-CN"/>
        </w:rPr>
        <w:t>对评审委员会成员的纪律要求</w:t>
      </w:r>
      <w:bookmarkEnd w:id="99"/>
      <w:bookmarkEnd w:id="100"/>
      <w:bookmarkEnd w:id="101"/>
    </w:p>
    <w:p w14:paraId="198DF4C2">
      <w:pPr>
        <w:spacing w:line="400" w:lineRule="exact"/>
        <w:ind w:firstLine="480" w:firstLineChars="200"/>
        <w:rPr>
          <w:sz w:val="24"/>
          <w:lang w:eastAsia="zh-CN"/>
        </w:rPr>
      </w:pPr>
      <w:r>
        <w:rPr>
          <w:rFonts w:hint="eastAsia" w:cs="宋体"/>
          <w:sz w:val="24"/>
          <w:lang w:eastAsia="zh-CN"/>
        </w:rPr>
        <w:t>评审委员会成员不得收受他人的财物或者其他好处，不得向他人透漏对响应文件的评审和比较、成交候选人的推荐情况以及与评审有关的其他情况。在评审活动中，评审委员会成员不得擅离职守，影响评审程序正常进行，不得使用第三章“评审办法”没有规定的评审因素和标准进行评审。</w:t>
      </w:r>
    </w:p>
    <w:p w14:paraId="75F36D8C">
      <w:pPr>
        <w:pStyle w:val="27"/>
        <w:rPr>
          <w:lang w:eastAsia="zh-CN"/>
        </w:rPr>
      </w:pPr>
      <w:bookmarkStart w:id="102" w:name="_Toc312072276"/>
      <w:bookmarkStart w:id="103" w:name="_Toc446434337"/>
      <w:bookmarkStart w:id="104" w:name="_Toc507936057"/>
      <w:r>
        <w:rPr>
          <w:lang w:eastAsia="zh-CN"/>
        </w:rPr>
        <w:t xml:space="preserve">9.4 </w:t>
      </w:r>
      <w:r>
        <w:rPr>
          <w:rFonts w:hint="eastAsia"/>
          <w:lang w:eastAsia="zh-CN"/>
        </w:rPr>
        <w:t>对与评审活动有关的工作人员的纪律要求</w:t>
      </w:r>
      <w:bookmarkEnd w:id="102"/>
      <w:bookmarkEnd w:id="103"/>
      <w:bookmarkEnd w:id="104"/>
    </w:p>
    <w:p w14:paraId="16BE811C">
      <w:pPr>
        <w:spacing w:line="400" w:lineRule="exact"/>
        <w:ind w:firstLine="480" w:firstLineChars="200"/>
        <w:rPr>
          <w:sz w:val="24"/>
          <w:lang w:eastAsia="zh-CN"/>
        </w:rPr>
      </w:pPr>
      <w:r>
        <w:rPr>
          <w:rFonts w:hint="eastAsia" w:cs="宋体"/>
          <w:sz w:val="24"/>
          <w:lang w:eastAsia="zh-CN"/>
        </w:rPr>
        <w:t>与评审活动有关的工作人员不得收受他人的财物或者其他好处，不得向他人透漏对响应文件的评审和比较、</w:t>
      </w:r>
      <w:r>
        <w:rPr>
          <w:rFonts w:hint="eastAsia" w:cs="仿宋"/>
          <w:sz w:val="24"/>
          <w:lang w:eastAsia="zh-CN"/>
        </w:rPr>
        <w:t>成交</w:t>
      </w:r>
      <w:r>
        <w:rPr>
          <w:rFonts w:hint="eastAsia" w:cs="宋体"/>
          <w:sz w:val="24"/>
          <w:lang w:eastAsia="zh-CN"/>
        </w:rPr>
        <w:t>候选人的推荐情况以及与评审有关的其他情况。在评审活动中，与评审活动有关的工作人员不得擅离职守，影响评审程序正常进行。</w:t>
      </w:r>
    </w:p>
    <w:p w14:paraId="256BBC5B">
      <w:pPr>
        <w:pStyle w:val="27"/>
        <w:rPr>
          <w:lang w:eastAsia="zh-CN"/>
        </w:rPr>
      </w:pPr>
      <w:bookmarkStart w:id="105" w:name="_Toc446434338"/>
      <w:bookmarkStart w:id="106" w:name="_Toc312072277"/>
      <w:bookmarkStart w:id="107" w:name="_Toc507936058"/>
      <w:r>
        <w:rPr>
          <w:lang w:eastAsia="zh-CN"/>
        </w:rPr>
        <w:t xml:space="preserve">9.5 </w:t>
      </w:r>
      <w:r>
        <w:rPr>
          <w:rFonts w:hint="eastAsia"/>
          <w:lang w:eastAsia="zh-CN"/>
        </w:rPr>
        <w:t>投诉</w:t>
      </w:r>
      <w:bookmarkEnd w:id="105"/>
      <w:bookmarkEnd w:id="106"/>
      <w:bookmarkEnd w:id="107"/>
    </w:p>
    <w:p w14:paraId="3125B6D7">
      <w:pPr>
        <w:spacing w:line="400" w:lineRule="exact"/>
        <w:ind w:firstLine="480" w:firstLineChars="200"/>
        <w:rPr>
          <w:sz w:val="24"/>
          <w:lang w:eastAsia="zh-CN"/>
        </w:rPr>
      </w:pPr>
      <w:r>
        <w:rPr>
          <w:rFonts w:hint="eastAsia" w:cs="宋体"/>
          <w:sz w:val="24"/>
          <w:lang w:eastAsia="zh-CN"/>
        </w:rPr>
        <w:t>供应商和其他利害关系人认为本次谈判活动违反法律、法规和规章规定的，有权向市建设行政主管部门和相关监督部门投诉。</w:t>
      </w:r>
    </w:p>
    <w:p w14:paraId="0EE43066">
      <w:pPr>
        <w:pStyle w:val="27"/>
        <w:jc w:val="center"/>
        <w:rPr>
          <w:rStyle w:val="29"/>
          <w:b w:val="0"/>
          <w:bCs w:val="0"/>
          <w:lang w:eastAsia="zh-CN"/>
        </w:rPr>
      </w:pPr>
      <w:r>
        <w:rPr>
          <w:rStyle w:val="29"/>
          <w:b w:val="0"/>
          <w:bCs w:val="0"/>
          <w:lang w:eastAsia="zh-CN"/>
        </w:rPr>
        <w:t xml:space="preserve">10. </w:t>
      </w:r>
      <w:r>
        <w:rPr>
          <w:rStyle w:val="29"/>
          <w:rFonts w:hint="eastAsia"/>
          <w:b w:val="0"/>
          <w:bCs w:val="0"/>
          <w:lang w:eastAsia="zh-CN"/>
        </w:rPr>
        <w:t>需要补充的其他内容</w:t>
      </w:r>
      <w:bookmarkEnd w:id="91"/>
      <w:bookmarkEnd w:id="92"/>
      <w:bookmarkEnd w:id="93"/>
      <w:bookmarkEnd w:id="94"/>
      <w:bookmarkEnd w:id="95"/>
      <w:bookmarkEnd w:id="96"/>
      <w:bookmarkEnd w:id="97"/>
    </w:p>
    <w:p w14:paraId="632167CF">
      <w:pPr>
        <w:pStyle w:val="27"/>
        <w:rPr>
          <w:rFonts w:hint="eastAsia" w:eastAsia="宋体" w:cs="仿宋"/>
          <w:b w:val="0"/>
          <w:szCs w:val="24"/>
          <w:lang w:eastAsia="zh-CN"/>
        </w:rPr>
      </w:pPr>
      <w:bookmarkStart w:id="108" w:name="_Toc507936060"/>
      <w:bookmarkStart w:id="109" w:name="_Toc506105866"/>
      <w:r>
        <w:rPr>
          <w:rFonts w:hint="eastAsia" w:ascii="Arial" w:hAnsi="Arial" w:cs="Times New Roman"/>
          <w:b w:val="0"/>
          <w:bCs w:val="0"/>
          <w:lang w:eastAsia="zh-CN"/>
        </w:rPr>
        <w:t>10. 需要补充的其他内容</w:t>
      </w:r>
    </w:p>
    <w:p w14:paraId="1398573B">
      <w:pPr>
        <w:pStyle w:val="28"/>
        <w:widowControl/>
        <w:spacing w:beforeLines="0" w:line="300" w:lineRule="auto"/>
        <w:jc w:val="both"/>
        <w:rPr>
          <w:rFonts w:hint="eastAsia" w:ascii="宋体" w:hAnsi="宋体" w:eastAsia="宋体" w:cs="仿宋"/>
          <w:b w:val="0"/>
          <w:bCs/>
          <w:kern w:val="0"/>
          <w:sz w:val="24"/>
          <w:szCs w:val="24"/>
          <w:lang w:eastAsia="zh-CN"/>
        </w:rPr>
      </w:pPr>
      <w:bookmarkStart w:id="110" w:name="_Toc26208"/>
      <w:bookmarkStart w:id="111" w:name="_Toc22935"/>
      <w:r>
        <w:rPr>
          <w:rFonts w:hint="eastAsia" w:ascii="宋体" w:hAnsi="宋体" w:eastAsia="宋体" w:cs="仿宋"/>
          <w:b w:val="0"/>
          <w:bCs/>
          <w:kern w:val="0"/>
          <w:sz w:val="24"/>
          <w:szCs w:val="24"/>
          <w:lang w:eastAsia="zh-CN"/>
        </w:rPr>
        <w:t>附：否决响应条件</w:t>
      </w:r>
      <w:bookmarkEnd w:id="110"/>
      <w:bookmarkEnd w:id="111"/>
    </w:p>
    <w:p w14:paraId="56571C8B">
      <w:pPr>
        <w:pStyle w:val="28"/>
        <w:widowControl/>
        <w:spacing w:beforeLines="0" w:line="300" w:lineRule="auto"/>
        <w:jc w:val="both"/>
        <w:rPr>
          <w:rFonts w:hint="eastAsia" w:ascii="宋体" w:hAnsi="宋体" w:eastAsia="宋体" w:cs="仿宋"/>
          <w:b w:val="0"/>
          <w:bCs/>
          <w:kern w:val="0"/>
          <w:sz w:val="24"/>
          <w:szCs w:val="24"/>
          <w:lang w:eastAsia="zh-CN"/>
        </w:rPr>
      </w:pPr>
      <w:bookmarkStart w:id="112" w:name="_Toc26414"/>
      <w:bookmarkStart w:id="113" w:name="_Toc32256"/>
      <w:r>
        <w:rPr>
          <w:rFonts w:hint="eastAsia" w:ascii="宋体" w:hAnsi="宋体" w:eastAsia="宋体" w:cs="仿宋"/>
          <w:b w:val="0"/>
          <w:bCs/>
          <w:kern w:val="0"/>
          <w:sz w:val="24"/>
          <w:szCs w:val="24"/>
          <w:lang w:eastAsia="zh-CN"/>
        </w:rPr>
        <w:t>B0.总则</w:t>
      </w:r>
      <w:bookmarkEnd w:id="112"/>
      <w:bookmarkEnd w:id="113"/>
    </w:p>
    <w:p w14:paraId="66EEDD7B">
      <w:pPr>
        <w:pStyle w:val="28"/>
        <w:widowControl/>
        <w:spacing w:beforeLines="0" w:line="300" w:lineRule="auto"/>
        <w:jc w:val="both"/>
        <w:rPr>
          <w:rFonts w:hint="eastAsia" w:ascii="宋体" w:hAnsi="宋体" w:eastAsia="宋体" w:cs="仿宋"/>
          <w:b w:val="0"/>
          <w:bCs/>
          <w:kern w:val="0"/>
          <w:sz w:val="24"/>
          <w:szCs w:val="24"/>
          <w:lang w:eastAsia="zh-CN"/>
        </w:rPr>
      </w:pPr>
      <w:bookmarkStart w:id="114" w:name="_Toc20459"/>
      <w:bookmarkStart w:id="115" w:name="_Toc6469"/>
      <w:r>
        <w:rPr>
          <w:rFonts w:hint="eastAsia" w:ascii="宋体" w:hAnsi="宋体" w:eastAsia="宋体" w:cs="仿宋"/>
          <w:b w:val="0"/>
          <w:bCs/>
          <w:kern w:val="0"/>
          <w:sz w:val="24"/>
          <w:szCs w:val="24"/>
          <w:lang w:eastAsia="zh-CN"/>
        </w:rPr>
        <w:t>本附件所集中列示的否决响应条件，是本章“评审办法”的组成部分，是对第二章“谈判须知”和本章正文部分所规定的否决响应条件的总结和补充。</w:t>
      </w:r>
      <w:bookmarkEnd w:id="114"/>
      <w:bookmarkEnd w:id="115"/>
    </w:p>
    <w:p w14:paraId="74B3A17B">
      <w:pPr>
        <w:pStyle w:val="28"/>
        <w:widowControl/>
        <w:spacing w:beforeLines="0" w:line="300" w:lineRule="auto"/>
        <w:jc w:val="both"/>
        <w:rPr>
          <w:rFonts w:hint="eastAsia" w:ascii="宋体" w:hAnsi="宋体" w:eastAsia="宋体" w:cs="仿宋"/>
          <w:b w:val="0"/>
          <w:bCs/>
          <w:kern w:val="0"/>
          <w:sz w:val="24"/>
          <w:szCs w:val="24"/>
          <w:lang w:eastAsia="zh-CN"/>
        </w:rPr>
      </w:pPr>
      <w:bookmarkStart w:id="116" w:name="_Toc249"/>
      <w:bookmarkStart w:id="117" w:name="_Toc11807"/>
      <w:r>
        <w:rPr>
          <w:rFonts w:hint="eastAsia" w:ascii="宋体" w:hAnsi="宋体" w:eastAsia="宋体" w:cs="仿宋"/>
          <w:b w:val="0"/>
          <w:bCs/>
          <w:kern w:val="0"/>
          <w:sz w:val="24"/>
          <w:szCs w:val="24"/>
          <w:lang w:eastAsia="zh-CN"/>
        </w:rPr>
        <w:t>B1.否决响应条件</w:t>
      </w:r>
      <w:bookmarkEnd w:id="116"/>
      <w:bookmarkEnd w:id="117"/>
      <w:r>
        <w:rPr>
          <w:rFonts w:hint="eastAsia" w:ascii="宋体" w:hAnsi="宋体" w:eastAsia="宋体" w:cs="仿宋"/>
          <w:b w:val="0"/>
          <w:bCs/>
          <w:kern w:val="0"/>
          <w:sz w:val="24"/>
          <w:szCs w:val="24"/>
          <w:lang w:eastAsia="zh-CN"/>
        </w:rPr>
        <w:t xml:space="preserve"> </w:t>
      </w:r>
    </w:p>
    <w:p w14:paraId="2A46D7CF">
      <w:pPr>
        <w:pStyle w:val="28"/>
        <w:widowControl/>
        <w:spacing w:beforeLines="0" w:line="300" w:lineRule="auto"/>
        <w:jc w:val="both"/>
        <w:rPr>
          <w:rFonts w:hint="eastAsia"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 xml:space="preserve">    </w:t>
      </w:r>
      <w:bookmarkStart w:id="118" w:name="_Toc31525"/>
      <w:bookmarkStart w:id="119" w:name="_Toc26061"/>
      <w:r>
        <w:rPr>
          <w:rFonts w:hint="eastAsia" w:ascii="宋体" w:hAnsi="宋体" w:eastAsia="宋体" w:cs="仿宋"/>
          <w:b w:val="0"/>
          <w:bCs/>
          <w:kern w:val="0"/>
          <w:sz w:val="24"/>
          <w:szCs w:val="24"/>
          <w:lang w:eastAsia="zh-CN"/>
        </w:rPr>
        <w:t>供应商或其响应文件有下列情形之一的，否决其响应资格：</w:t>
      </w:r>
      <w:bookmarkEnd w:id="118"/>
      <w:bookmarkEnd w:id="119"/>
    </w:p>
    <w:p w14:paraId="7AD1D7DE">
      <w:pPr>
        <w:pStyle w:val="28"/>
        <w:widowControl/>
        <w:spacing w:beforeLines="0" w:line="300" w:lineRule="auto"/>
        <w:jc w:val="both"/>
        <w:rPr>
          <w:rFonts w:hint="eastAsia" w:ascii="宋体" w:hAnsi="宋体" w:eastAsia="宋体" w:cs="仿宋"/>
          <w:b w:val="0"/>
          <w:bCs/>
          <w:kern w:val="0"/>
          <w:sz w:val="24"/>
          <w:szCs w:val="24"/>
          <w:lang w:eastAsia="zh-CN"/>
        </w:rPr>
      </w:pPr>
      <w:bookmarkStart w:id="120" w:name="_Toc2691"/>
      <w:bookmarkStart w:id="121" w:name="_Toc18948"/>
      <w:r>
        <w:rPr>
          <w:rFonts w:hint="eastAsia" w:ascii="宋体" w:hAnsi="宋体" w:eastAsia="宋体" w:cs="仿宋"/>
          <w:b w:val="0"/>
          <w:bCs/>
          <w:kern w:val="0"/>
          <w:sz w:val="24"/>
          <w:szCs w:val="24"/>
          <w:lang w:eastAsia="zh-CN"/>
        </w:rPr>
        <w:t>B1.1有第二章“谈判须知”规定的任何一种情形的。</w:t>
      </w:r>
      <w:bookmarkEnd w:id="120"/>
      <w:bookmarkEnd w:id="121"/>
    </w:p>
    <w:p w14:paraId="5F535E47">
      <w:pPr>
        <w:pStyle w:val="28"/>
        <w:widowControl/>
        <w:spacing w:beforeLines="0" w:line="300" w:lineRule="auto"/>
        <w:jc w:val="both"/>
        <w:rPr>
          <w:rFonts w:hint="eastAsia" w:ascii="宋体" w:hAnsi="宋体" w:eastAsia="宋体" w:cs="仿宋"/>
          <w:b w:val="0"/>
          <w:bCs/>
          <w:kern w:val="0"/>
          <w:sz w:val="24"/>
          <w:szCs w:val="24"/>
          <w:lang w:eastAsia="zh-CN"/>
        </w:rPr>
      </w:pPr>
      <w:bookmarkStart w:id="122" w:name="_Toc28035"/>
      <w:bookmarkStart w:id="123" w:name="_Toc13623"/>
      <w:r>
        <w:rPr>
          <w:rFonts w:hint="eastAsia" w:ascii="宋体" w:hAnsi="宋体" w:eastAsia="宋体" w:cs="仿宋"/>
          <w:b w:val="0"/>
          <w:bCs/>
          <w:kern w:val="0"/>
          <w:sz w:val="24"/>
          <w:szCs w:val="24"/>
          <w:lang w:eastAsia="zh-CN"/>
        </w:rPr>
        <w:t>B1.2 有串通或弄虚作假或其他违法行为的，详见下款：</w:t>
      </w:r>
      <w:bookmarkEnd w:id="122"/>
      <w:bookmarkEnd w:id="123"/>
    </w:p>
    <w:p w14:paraId="1C54A2BC">
      <w:pPr>
        <w:pStyle w:val="28"/>
        <w:widowControl/>
        <w:spacing w:beforeLines="0" w:line="300" w:lineRule="auto"/>
        <w:jc w:val="both"/>
        <w:rPr>
          <w:rFonts w:hint="eastAsia" w:ascii="宋体" w:hAnsi="宋体" w:eastAsia="宋体" w:cs="仿宋"/>
          <w:b w:val="0"/>
          <w:bCs/>
          <w:kern w:val="0"/>
          <w:sz w:val="24"/>
          <w:szCs w:val="24"/>
          <w:lang w:eastAsia="zh-CN"/>
        </w:rPr>
      </w:pPr>
      <w:bookmarkStart w:id="124" w:name="_Toc29673"/>
      <w:bookmarkStart w:id="125" w:name="_Toc31820"/>
      <w:r>
        <w:rPr>
          <w:rFonts w:hint="eastAsia" w:ascii="宋体" w:hAnsi="宋体" w:eastAsia="宋体" w:cs="仿宋"/>
          <w:b w:val="0"/>
          <w:bCs/>
          <w:kern w:val="0"/>
          <w:sz w:val="24"/>
          <w:szCs w:val="24"/>
          <w:lang w:eastAsia="zh-CN"/>
        </w:rPr>
        <w:t>B1.2.1供应商之间协商谈判报价等响应文件的实质性内容；</w:t>
      </w:r>
      <w:bookmarkEnd w:id="124"/>
      <w:bookmarkEnd w:id="125"/>
    </w:p>
    <w:p w14:paraId="75F3D113">
      <w:pPr>
        <w:pStyle w:val="28"/>
        <w:widowControl/>
        <w:spacing w:beforeLines="0" w:line="300" w:lineRule="auto"/>
        <w:jc w:val="both"/>
        <w:rPr>
          <w:rFonts w:hint="eastAsia" w:ascii="宋体" w:hAnsi="宋体" w:eastAsia="宋体" w:cs="仿宋"/>
          <w:b w:val="0"/>
          <w:bCs/>
          <w:kern w:val="0"/>
          <w:sz w:val="24"/>
          <w:szCs w:val="24"/>
          <w:lang w:eastAsia="zh-CN"/>
        </w:rPr>
      </w:pPr>
      <w:bookmarkStart w:id="126" w:name="_Toc23669"/>
      <w:bookmarkStart w:id="127" w:name="_Toc27255"/>
      <w:r>
        <w:rPr>
          <w:rFonts w:hint="eastAsia" w:ascii="宋体" w:hAnsi="宋体" w:eastAsia="宋体" w:cs="仿宋"/>
          <w:b w:val="0"/>
          <w:bCs/>
          <w:kern w:val="0"/>
          <w:sz w:val="24"/>
          <w:szCs w:val="24"/>
          <w:lang w:eastAsia="zh-CN"/>
        </w:rPr>
        <w:t>B1.2.2供应商之间约定成交人；</w:t>
      </w:r>
      <w:bookmarkEnd w:id="126"/>
      <w:bookmarkEnd w:id="127"/>
    </w:p>
    <w:p w14:paraId="25A8AA62">
      <w:pPr>
        <w:pStyle w:val="28"/>
        <w:widowControl/>
        <w:spacing w:beforeLines="0" w:line="300" w:lineRule="auto"/>
        <w:jc w:val="both"/>
        <w:rPr>
          <w:rFonts w:hint="eastAsia"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 xml:space="preserve"> </w:t>
      </w:r>
      <w:bookmarkStart w:id="128" w:name="_Toc25019"/>
      <w:bookmarkStart w:id="129" w:name="_Toc28015"/>
      <w:r>
        <w:rPr>
          <w:rFonts w:hint="eastAsia" w:ascii="宋体" w:hAnsi="宋体" w:eastAsia="宋体" w:cs="仿宋"/>
          <w:b w:val="0"/>
          <w:bCs/>
          <w:kern w:val="0"/>
          <w:sz w:val="24"/>
          <w:szCs w:val="24"/>
          <w:lang w:eastAsia="zh-CN"/>
        </w:rPr>
        <w:t>B1.2.3供应商之间约定部分供应商放弃响应或者成交；</w:t>
      </w:r>
      <w:bookmarkEnd w:id="128"/>
      <w:bookmarkEnd w:id="129"/>
    </w:p>
    <w:p w14:paraId="529D3B68">
      <w:pPr>
        <w:pStyle w:val="28"/>
        <w:widowControl/>
        <w:spacing w:beforeLines="0" w:line="300" w:lineRule="auto"/>
        <w:jc w:val="both"/>
        <w:rPr>
          <w:rFonts w:hint="eastAsia"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 xml:space="preserve"> </w:t>
      </w:r>
      <w:bookmarkStart w:id="130" w:name="_Toc17042"/>
      <w:bookmarkStart w:id="131" w:name="_Toc28945"/>
      <w:r>
        <w:rPr>
          <w:rFonts w:hint="eastAsia" w:ascii="宋体" w:hAnsi="宋体" w:eastAsia="宋体" w:cs="仿宋"/>
          <w:b w:val="0"/>
          <w:bCs/>
          <w:kern w:val="0"/>
          <w:sz w:val="24"/>
          <w:szCs w:val="24"/>
          <w:lang w:eastAsia="zh-CN"/>
        </w:rPr>
        <w:t>B1.2.4属于同一集团、协会、商会等组织成员的供应商按照该组织要求协同响应；</w:t>
      </w:r>
      <w:bookmarkEnd w:id="130"/>
      <w:bookmarkEnd w:id="131"/>
    </w:p>
    <w:p w14:paraId="74FCDB65">
      <w:pPr>
        <w:pStyle w:val="28"/>
        <w:widowControl/>
        <w:spacing w:beforeLines="0" w:line="300" w:lineRule="auto"/>
        <w:jc w:val="both"/>
        <w:rPr>
          <w:rFonts w:hint="eastAsia" w:ascii="宋体" w:hAnsi="宋体" w:eastAsia="宋体" w:cs="仿宋"/>
          <w:b w:val="0"/>
          <w:bCs/>
          <w:kern w:val="0"/>
          <w:sz w:val="24"/>
          <w:szCs w:val="24"/>
          <w:lang w:eastAsia="zh-CN"/>
        </w:rPr>
      </w:pPr>
      <w:r>
        <w:rPr>
          <w:rFonts w:hint="eastAsia" w:ascii="宋体" w:hAnsi="宋体" w:eastAsia="宋体" w:cs="仿宋"/>
          <w:b w:val="0"/>
          <w:bCs/>
          <w:kern w:val="0"/>
          <w:sz w:val="24"/>
          <w:szCs w:val="24"/>
          <w:lang w:eastAsia="zh-CN"/>
        </w:rPr>
        <w:t xml:space="preserve"> </w:t>
      </w:r>
      <w:bookmarkStart w:id="132" w:name="_Toc8624"/>
      <w:bookmarkStart w:id="133" w:name="_Toc1494"/>
      <w:r>
        <w:rPr>
          <w:rFonts w:hint="eastAsia" w:ascii="宋体" w:hAnsi="宋体" w:eastAsia="宋体" w:cs="仿宋"/>
          <w:b w:val="0"/>
          <w:bCs/>
          <w:kern w:val="0"/>
          <w:sz w:val="24"/>
          <w:szCs w:val="24"/>
          <w:lang w:eastAsia="zh-CN"/>
        </w:rPr>
        <w:t>B1.2.5供应商之间为谋取成交或者排斥特定供应商而采取的其他联合行动；</w:t>
      </w:r>
      <w:bookmarkEnd w:id="132"/>
      <w:bookmarkEnd w:id="133"/>
    </w:p>
    <w:p w14:paraId="2379B0FF">
      <w:pPr>
        <w:pStyle w:val="28"/>
        <w:widowControl/>
        <w:spacing w:beforeLines="0" w:line="300" w:lineRule="auto"/>
        <w:jc w:val="both"/>
        <w:rPr>
          <w:rFonts w:hint="eastAsia" w:ascii="宋体" w:hAnsi="宋体" w:eastAsia="宋体" w:cs="仿宋"/>
          <w:b w:val="0"/>
          <w:bCs/>
          <w:kern w:val="0"/>
          <w:sz w:val="24"/>
          <w:szCs w:val="24"/>
          <w:lang w:eastAsia="zh-CN"/>
        </w:rPr>
      </w:pPr>
      <w:bookmarkStart w:id="134" w:name="_Toc32688"/>
      <w:bookmarkStart w:id="135" w:name="_Toc7585"/>
      <w:r>
        <w:rPr>
          <w:rFonts w:hint="eastAsia" w:ascii="宋体" w:hAnsi="宋体" w:eastAsia="宋体" w:cs="仿宋"/>
          <w:b w:val="0"/>
          <w:bCs/>
          <w:kern w:val="0"/>
          <w:sz w:val="24"/>
          <w:szCs w:val="24"/>
          <w:lang w:eastAsia="zh-CN"/>
        </w:rPr>
        <w:t>B1.2.6不同供应商的响应文件由同一单位或者个人编制；</w:t>
      </w:r>
      <w:bookmarkEnd w:id="134"/>
      <w:bookmarkEnd w:id="135"/>
    </w:p>
    <w:p w14:paraId="0E87F17E">
      <w:pPr>
        <w:pStyle w:val="28"/>
        <w:widowControl/>
        <w:spacing w:beforeLines="0" w:line="300" w:lineRule="auto"/>
        <w:jc w:val="both"/>
        <w:rPr>
          <w:rFonts w:hint="eastAsia" w:ascii="宋体" w:hAnsi="宋体" w:eastAsia="宋体" w:cs="仿宋"/>
          <w:b w:val="0"/>
          <w:bCs/>
          <w:kern w:val="0"/>
          <w:sz w:val="24"/>
          <w:szCs w:val="24"/>
          <w:lang w:eastAsia="zh-CN"/>
        </w:rPr>
      </w:pPr>
      <w:bookmarkStart w:id="136" w:name="_Toc28358"/>
      <w:bookmarkStart w:id="137" w:name="_Toc14505"/>
      <w:r>
        <w:rPr>
          <w:rFonts w:hint="eastAsia" w:ascii="宋体" w:hAnsi="宋体" w:eastAsia="宋体" w:cs="仿宋"/>
          <w:b w:val="0"/>
          <w:bCs/>
          <w:kern w:val="0"/>
          <w:sz w:val="24"/>
          <w:szCs w:val="24"/>
          <w:lang w:eastAsia="zh-CN"/>
        </w:rPr>
        <w:t>B1.2.7不同供应商委托同一单位或者个人办理响应事宜；</w:t>
      </w:r>
      <w:bookmarkEnd w:id="136"/>
      <w:bookmarkEnd w:id="137"/>
    </w:p>
    <w:p w14:paraId="104833DC">
      <w:pPr>
        <w:pStyle w:val="28"/>
        <w:widowControl/>
        <w:spacing w:beforeLines="0" w:line="300" w:lineRule="auto"/>
        <w:jc w:val="both"/>
        <w:rPr>
          <w:rFonts w:hint="eastAsia" w:ascii="宋体" w:hAnsi="宋体" w:eastAsia="宋体" w:cs="仿宋"/>
          <w:b w:val="0"/>
          <w:bCs/>
          <w:kern w:val="0"/>
          <w:sz w:val="24"/>
          <w:szCs w:val="24"/>
          <w:lang w:eastAsia="zh-CN"/>
        </w:rPr>
      </w:pPr>
      <w:bookmarkStart w:id="138" w:name="_Toc15412"/>
      <w:bookmarkStart w:id="139" w:name="_Toc27336"/>
      <w:r>
        <w:rPr>
          <w:rFonts w:hint="eastAsia" w:ascii="宋体" w:hAnsi="宋体" w:eastAsia="宋体" w:cs="仿宋"/>
          <w:b w:val="0"/>
          <w:bCs/>
          <w:kern w:val="0"/>
          <w:sz w:val="24"/>
          <w:szCs w:val="24"/>
          <w:lang w:eastAsia="zh-CN"/>
        </w:rPr>
        <w:t>B1.2.8不同供应商的响应文件异常一致或者响应报价呈规律性差异；</w:t>
      </w:r>
      <w:bookmarkEnd w:id="138"/>
      <w:bookmarkEnd w:id="139"/>
    </w:p>
    <w:p w14:paraId="3CFA4488">
      <w:pPr>
        <w:pStyle w:val="28"/>
        <w:widowControl/>
        <w:spacing w:beforeLines="0" w:line="300" w:lineRule="auto"/>
        <w:jc w:val="both"/>
        <w:rPr>
          <w:rFonts w:hint="eastAsia" w:ascii="宋体" w:hAnsi="宋体" w:eastAsia="宋体" w:cs="仿宋"/>
          <w:b w:val="0"/>
          <w:bCs/>
          <w:kern w:val="0"/>
          <w:sz w:val="24"/>
          <w:szCs w:val="24"/>
          <w:lang w:eastAsia="zh-CN"/>
        </w:rPr>
      </w:pPr>
      <w:bookmarkStart w:id="140" w:name="_Toc8708"/>
      <w:bookmarkStart w:id="141" w:name="_Toc2932"/>
      <w:r>
        <w:rPr>
          <w:rFonts w:hint="eastAsia" w:ascii="宋体" w:hAnsi="宋体" w:eastAsia="宋体" w:cs="仿宋"/>
          <w:b w:val="0"/>
          <w:bCs/>
          <w:kern w:val="0"/>
          <w:sz w:val="24"/>
          <w:szCs w:val="24"/>
          <w:lang w:eastAsia="zh-CN"/>
        </w:rPr>
        <w:t>B1.2.9不同供应商的响应文件错漏之处一致的；</w:t>
      </w:r>
      <w:bookmarkEnd w:id="140"/>
      <w:bookmarkEnd w:id="141"/>
    </w:p>
    <w:p w14:paraId="6823E56D">
      <w:pPr>
        <w:pStyle w:val="28"/>
        <w:widowControl/>
        <w:spacing w:beforeLines="0" w:line="300" w:lineRule="auto"/>
        <w:jc w:val="both"/>
        <w:rPr>
          <w:rFonts w:hint="eastAsia" w:ascii="宋体" w:hAnsi="宋体" w:eastAsia="宋体" w:cs="仿宋"/>
          <w:b w:val="0"/>
          <w:bCs/>
          <w:kern w:val="0"/>
          <w:sz w:val="24"/>
          <w:szCs w:val="24"/>
          <w:lang w:eastAsia="zh-CN"/>
        </w:rPr>
      </w:pPr>
      <w:bookmarkStart w:id="142" w:name="_Toc27572"/>
      <w:bookmarkStart w:id="143" w:name="_Toc587"/>
      <w:r>
        <w:rPr>
          <w:rFonts w:hint="eastAsia" w:ascii="宋体" w:hAnsi="宋体" w:eastAsia="宋体" w:cs="仿宋"/>
          <w:b w:val="0"/>
          <w:bCs/>
          <w:kern w:val="0"/>
          <w:sz w:val="24"/>
          <w:szCs w:val="24"/>
          <w:lang w:eastAsia="zh-CN"/>
        </w:rPr>
        <w:t>B1.2.10不同供应商的响应文件相互混装；</w:t>
      </w:r>
      <w:bookmarkEnd w:id="142"/>
      <w:bookmarkEnd w:id="143"/>
    </w:p>
    <w:p w14:paraId="44258680">
      <w:pPr>
        <w:pStyle w:val="28"/>
        <w:widowControl/>
        <w:spacing w:beforeLines="0" w:line="300" w:lineRule="auto"/>
        <w:jc w:val="both"/>
        <w:rPr>
          <w:rFonts w:hint="eastAsia" w:ascii="宋体" w:hAnsi="宋体" w:eastAsia="宋体" w:cs="仿宋"/>
          <w:b w:val="0"/>
          <w:bCs/>
          <w:kern w:val="0"/>
          <w:sz w:val="24"/>
          <w:szCs w:val="24"/>
          <w:lang w:eastAsia="zh-CN"/>
        </w:rPr>
      </w:pPr>
      <w:bookmarkStart w:id="144" w:name="_Toc22881"/>
      <w:bookmarkStart w:id="145" w:name="_Toc11508"/>
      <w:r>
        <w:rPr>
          <w:rFonts w:hint="eastAsia" w:ascii="宋体" w:hAnsi="宋体" w:eastAsia="宋体" w:cs="仿宋"/>
          <w:b w:val="0"/>
          <w:bCs/>
          <w:kern w:val="0"/>
          <w:sz w:val="24"/>
          <w:szCs w:val="24"/>
          <w:lang w:eastAsia="zh-CN"/>
        </w:rPr>
        <w:t>B1.2.11不同供应商的响应文件由同一台电脑编制或者同一台附属设备打印；</w:t>
      </w:r>
      <w:bookmarkEnd w:id="144"/>
      <w:bookmarkEnd w:id="145"/>
    </w:p>
    <w:p w14:paraId="6EA5B8A9">
      <w:pPr>
        <w:pStyle w:val="28"/>
        <w:widowControl/>
        <w:spacing w:beforeLines="0" w:line="300" w:lineRule="auto"/>
        <w:jc w:val="both"/>
        <w:rPr>
          <w:rFonts w:hint="eastAsia" w:ascii="宋体" w:hAnsi="宋体" w:eastAsia="宋体" w:cs="仿宋"/>
          <w:b w:val="0"/>
          <w:bCs/>
          <w:kern w:val="0"/>
          <w:sz w:val="24"/>
          <w:szCs w:val="24"/>
          <w:lang w:eastAsia="zh-CN"/>
        </w:rPr>
      </w:pPr>
      <w:bookmarkStart w:id="146" w:name="_Toc7991"/>
      <w:bookmarkStart w:id="147" w:name="_Toc3770"/>
      <w:r>
        <w:rPr>
          <w:rFonts w:hint="eastAsia" w:ascii="宋体" w:hAnsi="宋体" w:eastAsia="宋体" w:cs="仿宋"/>
          <w:b w:val="0"/>
          <w:bCs/>
          <w:kern w:val="0"/>
          <w:sz w:val="24"/>
          <w:szCs w:val="24"/>
          <w:lang w:eastAsia="zh-CN"/>
        </w:rPr>
        <w:t>B1.2.12不同供应商的谈判保证金从同一单位或者个人的账户转出；</w:t>
      </w:r>
      <w:bookmarkEnd w:id="146"/>
      <w:bookmarkEnd w:id="147"/>
    </w:p>
    <w:p w14:paraId="66AA1544">
      <w:pPr>
        <w:pStyle w:val="28"/>
        <w:widowControl/>
        <w:spacing w:beforeLines="0" w:line="300" w:lineRule="auto"/>
        <w:jc w:val="both"/>
        <w:rPr>
          <w:rFonts w:hint="eastAsia" w:ascii="宋体" w:hAnsi="宋体" w:eastAsia="宋体" w:cs="仿宋"/>
          <w:b w:val="0"/>
          <w:bCs/>
          <w:kern w:val="0"/>
          <w:sz w:val="24"/>
          <w:szCs w:val="24"/>
          <w:lang w:eastAsia="zh-CN"/>
        </w:rPr>
      </w:pPr>
      <w:bookmarkStart w:id="148" w:name="_Toc13210"/>
      <w:bookmarkStart w:id="149" w:name="_Toc13968"/>
      <w:r>
        <w:rPr>
          <w:rFonts w:hint="eastAsia" w:ascii="宋体" w:hAnsi="宋体" w:eastAsia="宋体" w:cs="仿宋"/>
          <w:b w:val="0"/>
          <w:bCs/>
          <w:kern w:val="0"/>
          <w:sz w:val="24"/>
          <w:szCs w:val="24"/>
          <w:lang w:eastAsia="zh-CN"/>
        </w:rPr>
        <w:t>B1.2.13不同供应商使用同一个人或者企业资金交纳响应保证金或者响应保函的反担保的；</w:t>
      </w:r>
      <w:bookmarkEnd w:id="148"/>
      <w:bookmarkEnd w:id="149"/>
    </w:p>
    <w:p w14:paraId="25FEC4DF">
      <w:pPr>
        <w:pStyle w:val="28"/>
        <w:widowControl/>
        <w:spacing w:beforeLines="0" w:line="300" w:lineRule="auto"/>
        <w:jc w:val="both"/>
        <w:rPr>
          <w:rFonts w:hint="eastAsia" w:ascii="宋体" w:hAnsi="宋体" w:eastAsia="宋体" w:cs="仿宋"/>
          <w:b w:val="0"/>
          <w:bCs/>
          <w:kern w:val="0"/>
          <w:sz w:val="24"/>
          <w:szCs w:val="24"/>
          <w:lang w:eastAsia="zh-CN"/>
        </w:rPr>
      </w:pPr>
      <w:bookmarkStart w:id="150" w:name="_Toc16474"/>
      <w:bookmarkStart w:id="151" w:name="_Toc19806"/>
      <w:r>
        <w:rPr>
          <w:rFonts w:hint="eastAsia" w:ascii="宋体" w:hAnsi="宋体" w:eastAsia="宋体" w:cs="仿宋"/>
          <w:b w:val="0"/>
          <w:bCs/>
          <w:kern w:val="0"/>
          <w:sz w:val="24"/>
          <w:szCs w:val="24"/>
          <w:lang w:eastAsia="zh-CN"/>
        </w:rPr>
        <w:t>B1.2.14使用伪造、变造的许可证件；</w:t>
      </w:r>
      <w:bookmarkEnd w:id="150"/>
      <w:bookmarkEnd w:id="151"/>
    </w:p>
    <w:p w14:paraId="39D35975">
      <w:pPr>
        <w:pStyle w:val="28"/>
        <w:widowControl/>
        <w:spacing w:beforeLines="0" w:line="300" w:lineRule="auto"/>
        <w:jc w:val="both"/>
        <w:rPr>
          <w:rFonts w:hint="eastAsia" w:ascii="宋体" w:hAnsi="宋体" w:eastAsia="宋体" w:cs="仿宋"/>
          <w:b w:val="0"/>
          <w:bCs/>
          <w:kern w:val="0"/>
          <w:sz w:val="24"/>
          <w:szCs w:val="24"/>
          <w:lang w:eastAsia="zh-CN"/>
        </w:rPr>
      </w:pPr>
      <w:bookmarkStart w:id="152" w:name="_Toc21578"/>
      <w:bookmarkStart w:id="153" w:name="_Toc29175"/>
      <w:r>
        <w:rPr>
          <w:rFonts w:hint="eastAsia" w:ascii="宋体" w:hAnsi="宋体" w:eastAsia="宋体" w:cs="仿宋"/>
          <w:b w:val="0"/>
          <w:bCs/>
          <w:kern w:val="0"/>
          <w:sz w:val="24"/>
          <w:szCs w:val="24"/>
          <w:lang w:eastAsia="zh-CN"/>
        </w:rPr>
        <w:t>B1.2.15提供虚假的财务状况或者业绩；</w:t>
      </w:r>
      <w:bookmarkEnd w:id="152"/>
      <w:bookmarkEnd w:id="153"/>
    </w:p>
    <w:p w14:paraId="7C1BAB0D">
      <w:pPr>
        <w:pStyle w:val="28"/>
        <w:widowControl/>
        <w:spacing w:beforeLines="0" w:line="300" w:lineRule="auto"/>
        <w:jc w:val="both"/>
        <w:rPr>
          <w:rFonts w:hint="eastAsia" w:ascii="宋体" w:hAnsi="宋体" w:eastAsia="宋体" w:cs="仿宋"/>
          <w:b w:val="0"/>
          <w:bCs/>
          <w:kern w:val="0"/>
          <w:sz w:val="24"/>
          <w:szCs w:val="24"/>
          <w:lang w:eastAsia="zh-CN"/>
        </w:rPr>
      </w:pPr>
      <w:bookmarkStart w:id="154" w:name="_Toc2666"/>
      <w:bookmarkStart w:id="155" w:name="_Toc9474"/>
      <w:r>
        <w:rPr>
          <w:rFonts w:hint="eastAsia" w:ascii="宋体" w:hAnsi="宋体" w:eastAsia="宋体" w:cs="仿宋"/>
          <w:b w:val="0"/>
          <w:bCs/>
          <w:kern w:val="0"/>
          <w:sz w:val="24"/>
          <w:szCs w:val="24"/>
          <w:lang w:eastAsia="zh-CN"/>
        </w:rPr>
        <w:t>B1.2.16提供虚假的信用状况；</w:t>
      </w:r>
      <w:bookmarkEnd w:id="154"/>
      <w:bookmarkEnd w:id="155"/>
    </w:p>
    <w:p w14:paraId="4C7E11DA">
      <w:pPr>
        <w:pStyle w:val="28"/>
        <w:widowControl/>
        <w:spacing w:beforeLines="0" w:line="300" w:lineRule="auto"/>
        <w:jc w:val="both"/>
        <w:rPr>
          <w:rFonts w:hint="eastAsia" w:ascii="宋体" w:hAnsi="宋体" w:eastAsia="宋体" w:cs="仿宋"/>
          <w:b w:val="0"/>
          <w:bCs/>
          <w:kern w:val="0"/>
          <w:sz w:val="24"/>
          <w:szCs w:val="24"/>
          <w:lang w:eastAsia="zh-CN"/>
        </w:rPr>
      </w:pPr>
      <w:bookmarkStart w:id="156" w:name="_Toc27633"/>
      <w:bookmarkStart w:id="157" w:name="_Toc23179"/>
      <w:r>
        <w:rPr>
          <w:rFonts w:hint="eastAsia" w:ascii="宋体" w:hAnsi="宋体" w:eastAsia="宋体" w:cs="仿宋"/>
          <w:b w:val="0"/>
          <w:bCs/>
          <w:kern w:val="0"/>
          <w:sz w:val="24"/>
          <w:szCs w:val="24"/>
          <w:lang w:eastAsia="zh-CN"/>
        </w:rPr>
        <w:t>B1.2.17其他弄虚作假的行为；</w:t>
      </w:r>
      <w:bookmarkEnd w:id="156"/>
      <w:bookmarkEnd w:id="157"/>
    </w:p>
    <w:p w14:paraId="1B7FA30D">
      <w:pPr>
        <w:pStyle w:val="28"/>
        <w:widowControl/>
        <w:spacing w:beforeLines="0" w:line="300" w:lineRule="auto"/>
        <w:jc w:val="both"/>
        <w:rPr>
          <w:rFonts w:hint="eastAsia" w:ascii="宋体" w:hAnsi="宋体" w:eastAsia="宋体" w:cs="仿宋"/>
          <w:b w:val="0"/>
          <w:bCs/>
          <w:kern w:val="0"/>
          <w:sz w:val="24"/>
          <w:szCs w:val="24"/>
          <w:lang w:eastAsia="zh-CN"/>
        </w:rPr>
      </w:pPr>
      <w:bookmarkStart w:id="158" w:name="_Toc4045"/>
      <w:bookmarkStart w:id="159" w:name="_Toc22832"/>
      <w:r>
        <w:rPr>
          <w:rFonts w:hint="eastAsia" w:ascii="宋体" w:hAnsi="宋体" w:eastAsia="宋体" w:cs="仿宋"/>
          <w:b w:val="0"/>
          <w:bCs/>
          <w:kern w:val="0"/>
          <w:sz w:val="24"/>
          <w:szCs w:val="24"/>
          <w:lang w:eastAsia="zh-CN"/>
        </w:rPr>
        <w:t>B1.2.18采购人在谈判前开启响应文件并将有关信息泄露给其他供应商；</w:t>
      </w:r>
      <w:bookmarkEnd w:id="158"/>
      <w:bookmarkEnd w:id="159"/>
    </w:p>
    <w:p w14:paraId="0A9EEECF">
      <w:pPr>
        <w:pStyle w:val="28"/>
        <w:widowControl/>
        <w:spacing w:beforeLines="0" w:line="300" w:lineRule="auto"/>
        <w:jc w:val="both"/>
        <w:rPr>
          <w:rFonts w:hint="eastAsia" w:ascii="宋体" w:hAnsi="宋体" w:eastAsia="宋体" w:cs="仿宋"/>
          <w:b w:val="0"/>
          <w:bCs/>
          <w:kern w:val="0"/>
          <w:sz w:val="24"/>
          <w:szCs w:val="24"/>
          <w:lang w:eastAsia="zh-CN"/>
        </w:rPr>
      </w:pPr>
      <w:bookmarkStart w:id="160" w:name="_Toc7642"/>
      <w:bookmarkStart w:id="161" w:name="_Toc3700"/>
      <w:r>
        <w:rPr>
          <w:rFonts w:hint="eastAsia" w:ascii="宋体" w:hAnsi="宋体" w:eastAsia="宋体" w:cs="仿宋"/>
          <w:b w:val="0"/>
          <w:bCs/>
          <w:kern w:val="0"/>
          <w:sz w:val="24"/>
          <w:szCs w:val="24"/>
          <w:lang w:eastAsia="zh-CN"/>
        </w:rPr>
        <w:t>B1.2.19采购人直接或者间接向供应商泄露底价、评审委员会成员等信息；</w:t>
      </w:r>
      <w:bookmarkEnd w:id="160"/>
      <w:bookmarkEnd w:id="161"/>
    </w:p>
    <w:p w14:paraId="0E3C40D0">
      <w:pPr>
        <w:pStyle w:val="28"/>
        <w:widowControl/>
        <w:spacing w:beforeLines="0" w:line="300" w:lineRule="auto"/>
        <w:jc w:val="both"/>
        <w:rPr>
          <w:rFonts w:hint="eastAsia" w:ascii="宋体" w:hAnsi="宋体" w:eastAsia="宋体" w:cs="仿宋"/>
          <w:b w:val="0"/>
          <w:bCs/>
          <w:kern w:val="0"/>
          <w:sz w:val="24"/>
          <w:szCs w:val="24"/>
          <w:lang w:eastAsia="zh-CN"/>
        </w:rPr>
      </w:pPr>
      <w:bookmarkStart w:id="162" w:name="_Toc5952"/>
      <w:bookmarkStart w:id="163" w:name="_Toc9473"/>
      <w:r>
        <w:rPr>
          <w:rFonts w:hint="eastAsia" w:ascii="宋体" w:hAnsi="宋体" w:eastAsia="宋体" w:cs="仿宋"/>
          <w:b w:val="0"/>
          <w:bCs/>
          <w:kern w:val="0"/>
          <w:sz w:val="24"/>
          <w:szCs w:val="24"/>
          <w:lang w:eastAsia="zh-CN"/>
        </w:rPr>
        <w:t>B1.2.20采购人明示或者暗示供应商压低或者抬高报价；</w:t>
      </w:r>
      <w:bookmarkEnd w:id="162"/>
      <w:bookmarkEnd w:id="163"/>
    </w:p>
    <w:p w14:paraId="388F1539">
      <w:pPr>
        <w:pStyle w:val="28"/>
        <w:widowControl/>
        <w:spacing w:beforeLines="0" w:line="300" w:lineRule="auto"/>
        <w:jc w:val="both"/>
        <w:rPr>
          <w:rFonts w:hint="eastAsia" w:ascii="宋体" w:hAnsi="宋体" w:eastAsia="宋体" w:cs="仿宋"/>
          <w:b w:val="0"/>
          <w:bCs/>
          <w:kern w:val="0"/>
          <w:sz w:val="24"/>
          <w:szCs w:val="24"/>
          <w:lang w:eastAsia="zh-CN"/>
        </w:rPr>
      </w:pPr>
      <w:bookmarkStart w:id="164" w:name="_Toc25670"/>
      <w:bookmarkStart w:id="165" w:name="_Toc2893"/>
      <w:r>
        <w:rPr>
          <w:rFonts w:hint="eastAsia" w:ascii="宋体" w:hAnsi="宋体" w:eastAsia="宋体" w:cs="仿宋"/>
          <w:b w:val="0"/>
          <w:bCs/>
          <w:kern w:val="0"/>
          <w:sz w:val="24"/>
          <w:szCs w:val="24"/>
          <w:lang w:eastAsia="zh-CN"/>
        </w:rPr>
        <w:t>B1.2.21采购人授意供应商撤换、修改响应文件；</w:t>
      </w:r>
      <w:bookmarkEnd w:id="164"/>
      <w:bookmarkEnd w:id="165"/>
    </w:p>
    <w:p w14:paraId="642E053F">
      <w:pPr>
        <w:pStyle w:val="28"/>
        <w:widowControl/>
        <w:spacing w:beforeLines="0" w:line="300" w:lineRule="auto"/>
        <w:jc w:val="both"/>
        <w:rPr>
          <w:rFonts w:hint="eastAsia" w:ascii="宋体" w:hAnsi="宋体" w:eastAsia="宋体" w:cs="仿宋"/>
          <w:b w:val="0"/>
          <w:bCs/>
          <w:kern w:val="0"/>
          <w:sz w:val="24"/>
          <w:szCs w:val="24"/>
          <w:lang w:eastAsia="zh-CN"/>
        </w:rPr>
      </w:pPr>
      <w:bookmarkStart w:id="166" w:name="_Toc13206"/>
      <w:bookmarkStart w:id="167" w:name="_Toc9700"/>
      <w:r>
        <w:rPr>
          <w:rFonts w:hint="eastAsia" w:ascii="宋体" w:hAnsi="宋体" w:eastAsia="宋体" w:cs="仿宋"/>
          <w:b w:val="0"/>
          <w:bCs/>
          <w:kern w:val="0"/>
          <w:sz w:val="24"/>
          <w:szCs w:val="24"/>
          <w:lang w:eastAsia="zh-CN"/>
        </w:rPr>
        <w:t>B1.2.22采购人明示或者暗示供应商为特定供应商成交提供方便；</w:t>
      </w:r>
      <w:bookmarkEnd w:id="166"/>
      <w:bookmarkEnd w:id="167"/>
    </w:p>
    <w:p w14:paraId="548C1E0C">
      <w:pPr>
        <w:pStyle w:val="28"/>
        <w:widowControl/>
        <w:spacing w:beforeLines="0" w:line="300" w:lineRule="auto"/>
        <w:jc w:val="both"/>
        <w:rPr>
          <w:rFonts w:hint="eastAsia" w:ascii="宋体" w:hAnsi="宋体" w:eastAsia="宋体" w:cs="仿宋"/>
          <w:b w:val="0"/>
          <w:bCs/>
          <w:kern w:val="0"/>
          <w:sz w:val="24"/>
          <w:szCs w:val="24"/>
          <w:lang w:eastAsia="zh-CN"/>
        </w:rPr>
      </w:pPr>
      <w:bookmarkStart w:id="168" w:name="_Toc2603"/>
      <w:bookmarkStart w:id="169" w:name="_Toc32227"/>
      <w:r>
        <w:rPr>
          <w:rFonts w:hint="eastAsia" w:ascii="宋体" w:hAnsi="宋体" w:eastAsia="宋体" w:cs="仿宋"/>
          <w:b w:val="0"/>
          <w:bCs/>
          <w:kern w:val="0"/>
          <w:sz w:val="24"/>
          <w:szCs w:val="24"/>
          <w:lang w:eastAsia="zh-CN"/>
        </w:rPr>
        <w:t>B1.2.23采购人与供应商为谋求特定供应商成交而采取的其他串通行为；</w:t>
      </w:r>
      <w:bookmarkEnd w:id="168"/>
      <w:bookmarkEnd w:id="169"/>
    </w:p>
    <w:p w14:paraId="1E699C3C">
      <w:pPr>
        <w:pStyle w:val="28"/>
        <w:widowControl/>
        <w:spacing w:beforeLines="0" w:line="300" w:lineRule="auto"/>
        <w:jc w:val="both"/>
        <w:rPr>
          <w:rFonts w:hint="eastAsia" w:ascii="宋体" w:hAnsi="宋体" w:eastAsia="宋体" w:cs="仿宋"/>
          <w:b w:val="0"/>
          <w:bCs/>
          <w:kern w:val="0"/>
          <w:sz w:val="24"/>
          <w:szCs w:val="24"/>
          <w:lang w:eastAsia="zh-CN"/>
        </w:rPr>
      </w:pPr>
      <w:bookmarkStart w:id="170" w:name="_Toc14431"/>
      <w:bookmarkStart w:id="171" w:name="_Toc6004"/>
      <w:r>
        <w:rPr>
          <w:rFonts w:hint="eastAsia" w:ascii="宋体" w:hAnsi="宋体" w:eastAsia="宋体" w:cs="仿宋"/>
          <w:b w:val="0"/>
          <w:bCs/>
          <w:kern w:val="0"/>
          <w:sz w:val="24"/>
          <w:szCs w:val="24"/>
          <w:lang w:eastAsia="zh-CN"/>
        </w:rPr>
        <w:t>B1.2.24评审委员会认定的其他串通情形；</w:t>
      </w:r>
      <w:bookmarkEnd w:id="170"/>
      <w:bookmarkEnd w:id="171"/>
    </w:p>
    <w:p w14:paraId="549B7686">
      <w:pPr>
        <w:pStyle w:val="28"/>
        <w:widowControl/>
        <w:spacing w:beforeLines="0" w:line="300" w:lineRule="auto"/>
        <w:jc w:val="both"/>
        <w:rPr>
          <w:rFonts w:hint="eastAsia" w:ascii="宋体" w:hAnsi="宋体" w:eastAsia="宋体" w:cs="仿宋"/>
          <w:b w:val="0"/>
          <w:bCs/>
          <w:kern w:val="0"/>
          <w:sz w:val="24"/>
          <w:szCs w:val="24"/>
          <w:lang w:eastAsia="zh-CN"/>
        </w:rPr>
      </w:pPr>
      <w:bookmarkStart w:id="172" w:name="_Toc23431"/>
      <w:bookmarkStart w:id="173" w:name="_Toc22876"/>
      <w:r>
        <w:rPr>
          <w:rFonts w:hint="eastAsia" w:ascii="宋体" w:hAnsi="宋体" w:eastAsia="宋体" w:cs="仿宋"/>
          <w:b w:val="0"/>
          <w:bCs/>
          <w:kern w:val="0"/>
          <w:sz w:val="24"/>
          <w:szCs w:val="24"/>
          <w:lang w:eastAsia="zh-CN"/>
        </w:rPr>
        <w:t>B1.3不按评审委员会要求澄清、说明或补正的。</w:t>
      </w:r>
      <w:bookmarkEnd w:id="172"/>
      <w:bookmarkEnd w:id="173"/>
    </w:p>
    <w:p w14:paraId="6B1ECC84">
      <w:pPr>
        <w:pStyle w:val="28"/>
        <w:widowControl/>
        <w:spacing w:beforeLines="0" w:line="300" w:lineRule="auto"/>
        <w:jc w:val="both"/>
        <w:rPr>
          <w:rFonts w:hint="eastAsia" w:ascii="宋体" w:hAnsi="宋体" w:eastAsia="宋体" w:cs="仿宋"/>
          <w:b w:val="0"/>
          <w:bCs/>
          <w:kern w:val="0"/>
          <w:sz w:val="24"/>
          <w:szCs w:val="24"/>
          <w:lang w:eastAsia="zh-CN"/>
        </w:rPr>
      </w:pPr>
      <w:bookmarkStart w:id="174" w:name="_Toc32136"/>
      <w:bookmarkStart w:id="175" w:name="_Toc11885"/>
      <w:r>
        <w:rPr>
          <w:rFonts w:hint="eastAsia" w:ascii="宋体" w:hAnsi="宋体" w:eastAsia="宋体" w:cs="仿宋"/>
          <w:b w:val="0"/>
          <w:bCs/>
          <w:kern w:val="0"/>
          <w:sz w:val="24"/>
          <w:szCs w:val="24"/>
          <w:lang w:eastAsia="zh-CN"/>
        </w:rPr>
        <w:t>B1.4在形式评审、资格评审（适用于未进行资格预审的）、响应性评审中，评审委员会认定供应商的响应文件不符合评审办法前附表中规定的任何一项评审标准的。</w:t>
      </w:r>
      <w:bookmarkEnd w:id="174"/>
      <w:bookmarkEnd w:id="175"/>
    </w:p>
    <w:p w14:paraId="1798DBFE">
      <w:pPr>
        <w:pStyle w:val="28"/>
        <w:widowControl/>
        <w:spacing w:beforeLines="0" w:line="300" w:lineRule="auto"/>
        <w:jc w:val="both"/>
        <w:rPr>
          <w:rFonts w:hint="eastAsia" w:ascii="宋体" w:hAnsi="宋体" w:eastAsia="宋体" w:cs="仿宋"/>
          <w:b w:val="0"/>
          <w:bCs/>
          <w:kern w:val="0"/>
          <w:sz w:val="24"/>
          <w:szCs w:val="24"/>
          <w:lang w:eastAsia="zh-CN"/>
        </w:rPr>
      </w:pPr>
      <w:bookmarkStart w:id="176" w:name="_Toc9229"/>
      <w:bookmarkStart w:id="177" w:name="_Toc7628"/>
      <w:r>
        <w:rPr>
          <w:rFonts w:hint="eastAsia" w:ascii="宋体" w:hAnsi="宋体" w:eastAsia="宋体" w:cs="仿宋"/>
          <w:b w:val="0"/>
          <w:bCs/>
          <w:kern w:val="0"/>
          <w:sz w:val="24"/>
          <w:szCs w:val="24"/>
          <w:lang w:eastAsia="zh-CN"/>
        </w:rPr>
        <w:t>B1.5当供应商资格预审申请文件的内容发生重大变化时，其在响应文件中更新的资料，未能通过资格评审的（适用于已进行资格预审的）。</w:t>
      </w:r>
      <w:bookmarkEnd w:id="176"/>
      <w:bookmarkEnd w:id="177"/>
    </w:p>
    <w:p w14:paraId="5E3C5273">
      <w:pPr>
        <w:pStyle w:val="28"/>
        <w:widowControl/>
        <w:spacing w:beforeLines="0" w:line="300" w:lineRule="auto"/>
        <w:jc w:val="both"/>
        <w:rPr>
          <w:rFonts w:hint="eastAsia" w:ascii="宋体" w:hAnsi="宋体" w:eastAsia="宋体" w:cs="仿宋"/>
          <w:b w:val="0"/>
          <w:bCs/>
          <w:kern w:val="0"/>
          <w:sz w:val="24"/>
          <w:szCs w:val="24"/>
          <w:lang w:eastAsia="zh-CN"/>
        </w:rPr>
      </w:pPr>
      <w:bookmarkStart w:id="178" w:name="_Toc28698"/>
      <w:bookmarkStart w:id="179" w:name="_Toc21797"/>
      <w:r>
        <w:rPr>
          <w:rFonts w:hint="eastAsia" w:ascii="宋体" w:hAnsi="宋体" w:eastAsia="宋体" w:cs="仿宋"/>
          <w:b w:val="0"/>
          <w:bCs/>
          <w:kern w:val="0"/>
          <w:sz w:val="24"/>
          <w:szCs w:val="24"/>
          <w:lang w:eastAsia="zh-CN"/>
        </w:rPr>
        <w:t>B1.6在技术和资信评审中，评审委员会认定供应商的响应未能通过此项评审的。</w:t>
      </w:r>
      <w:bookmarkEnd w:id="178"/>
      <w:bookmarkEnd w:id="179"/>
    </w:p>
    <w:p w14:paraId="4B33E1F0">
      <w:pPr>
        <w:pStyle w:val="28"/>
        <w:widowControl/>
        <w:spacing w:beforeLines="0" w:line="300" w:lineRule="auto"/>
        <w:jc w:val="both"/>
        <w:rPr>
          <w:rFonts w:hint="eastAsia" w:ascii="宋体" w:hAnsi="宋体" w:eastAsia="宋体" w:cs="仿宋"/>
          <w:b w:val="0"/>
          <w:bCs/>
          <w:kern w:val="0"/>
          <w:sz w:val="24"/>
          <w:szCs w:val="24"/>
          <w:lang w:eastAsia="zh-CN"/>
        </w:rPr>
      </w:pPr>
      <w:bookmarkStart w:id="180" w:name="_Toc5012"/>
      <w:bookmarkStart w:id="181" w:name="_Toc13603"/>
      <w:r>
        <w:rPr>
          <w:rFonts w:hint="eastAsia" w:ascii="宋体" w:hAnsi="宋体" w:eastAsia="宋体" w:cs="仿宋"/>
          <w:b w:val="0"/>
          <w:bCs/>
          <w:kern w:val="0"/>
          <w:sz w:val="24"/>
          <w:szCs w:val="24"/>
          <w:lang w:eastAsia="zh-CN"/>
        </w:rPr>
        <w:t>B1.7评审委员会认定供应商以低于成本报价竞争的。</w:t>
      </w:r>
      <w:bookmarkEnd w:id="180"/>
      <w:bookmarkEnd w:id="181"/>
    </w:p>
    <w:p w14:paraId="6FC0650F">
      <w:pPr>
        <w:pStyle w:val="31"/>
        <w:spacing w:before="120"/>
        <w:rPr>
          <w:color w:val="auto"/>
          <w:lang w:eastAsia="zh-CN"/>
        </w:rPr>
      </w:pPr>
      <w:bookmarkStart w:id="182" w:name="_Toc32709"/>
      <w:r>
        <w:rPr>
          <w:color w:val="auto"/>
          <w:lang w:eastAsia="zh-CN"/>
        </w:rPr>
        <w:br w:type="page"/>
      </w:r>
    </w:p>
    <w:p w14:paraId="206F9E10">
      <w:pPr>
        <w:pStyle w:val="31"/>
        <w:spacing w:before="120"/>
        <w:rPr>
          <w:color w:val="auto"/>
          <w:lang w:eastAsia="zh-CN"/>
        </w:rPr>
      </w:pPr>
      <w:r>
        <w:rPr>
          <w:rFonts w:hint="eastAsia"/>
          <w:color w:val="auto"/>
          <w:lang w:eastAsia="zh-CN"/>
        </w:rPr>
        <w:t>第三章  评审办法</w:t>
      </w:r>
      <w:bookmarkEnd w:id="108"/>
      <w:bookmarkEnd w:id="109"/>
      <w:bookmarkEnd w:id="182"/>
    </w:p>
    <w:p w14:paraId="750F9889">
      <w:pPr>
        <w:tabs>
          <w:tab w:val="left" w:pos="6237"/>
        </w:tabs>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为规范</w:t>
      </w:r>
      <w:r>
        <w:rPr>
          <w:rFonts w:hint="eastAsia" w:cs="仿宋"/>
          <w:bCs/>
          <w:color w:val="auto"/>
          <w:sz w:val="24"/>
          <w:lang w:eastAsia="zh-CN"/>
        </w:rPr>
        <w:t>谈判</w:t>
      </w:r>
      <w:r>
        <w:rPr>
          <w:rFonts w:hint="eastAsia" w:ascii="宋体" w:hAnsi="宋体" w:cs="仿宋"/>
          <w:bCs/>
          <w:color w:val="auto"/>
          <w:sz w:val="24"/>
          <w:lang w:eastAsia="zh-CN"/>
        </w:rPr>
        <w:t>工作，制定本办法。</w:t>
      </w:r>
    </w:p>
    <w:p w14:paraId="725BBFF8">
      <w:pPr>
        <w:spacing w:line="360" w:lineRule="auto"/>
        <w:rPr>
          <w:rFonts w:ascii="宋体" w:hAnsi="宋体" w:cs="仿宋"/>
          <w:color w:val="auto"/>
          <w:sz w:val="24"/>
          <w:lang w:eastAsia="zh-CN"/>
        </w:rPr>
      </w:pPr>
      <w:r>
        <w:rPr>
          <w:rFonts w:hint="eastAsia" w:ascii="宋体" w:hAnsi="宋体" w:cs="仿宋"/>
          <w:color w:val="auto"/>
          <w:sz w:val="24"/>
          <w:lang w:eastAsia="zh-CN"/>
        </w:rPr>
        <w:t>一、评审方法</w:t>
      </w:r>
    </w:p>
    <w:p w14:paraId="44E08534">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按</w:t>
      </w:r>
      <w:r>
        <w:rPr>
          <w:rFonts w:hint="eastAsia" w:cs="仿宋"/>
          <w:bCs/>
          <w:color w:val="auto"/>
          <w:sz w:val="24"/>
          <w:lang w:eastAsia="zh-CN"/>
        </w:rPr>
        <w:t>综合评估法</w:t>
      </w:r>
      <w:r>
        <w:rPr>
          <w:rFonts w:hint="eastAsia" w:ascii="宋体" w:hAnsi="宋体" w:cs="仿宋"/>
          <w:bCs/>
          <w:color w:val="auto"/>
          <w:sz w:val="24"/>
          <w:lang w:eastAsia="zh-CN"/>
        </w:rPr>
        <w:t>进行</w:t>
      </w:r>
      <w:r>
        <w:rPr>
          <w:rFonts w:hint="eastAsia" w:cs="仿宋"/>
          <w:bCs/>
          <w:color w:val="auto"/>
          <w:sz w:val="24"/>
          <w:lang w:eastAsia="zh-CN"/>
        </w:rPr>
        <w:t>评审</w:t>
      </w:r>
      <w:r>
        <w:rPr>
          <w:rFonts w:hint="eastAsia" w:ascii="宋体" w:hAnsi="宋体" w:cs="仿宋"/>
          <w:bCs/>
          <w:color w:val="auto"/>
          <w:sz w:val="24"/>
          <w:lang w:eastAsia="zh-CN"/>
        </w:rPr>
        <w:t>。</w:t>
      </w:r>
    </w:p>
    <w:p w14:paraId="7462FC52">
      <w:pPr>
        <w:spacing w:line="360" w:lineRule="auto"/>
        <w:rPr>
          <w:rFonts w:ascii="宋体" w:hAnsi="宋体" w:cs="仿宋"/>
          <w:color w:val="auto"/>
          <w:sz w:val="24"/>
          <w:lang w:eastAsia="zh-CN"/>
        </w:rPr>
      </w:pPr>
      <w:r>
        <w:rPr>
          <w:rFonts w:hint="eastAsia" w:ascii="宋体" w:hAnsi="宋体" w:cs="仿宋"/>
          <w:bCs/>
          <w:color w:val="auto"/>
          <w:sz w:val="24"/>
          <w:lang w:eastAsia="zh-CN"/>
        </w:rPr>
        <w:t>二、</w:t>
      </w:r>
      <w:r>
        <w:rPr>
          <w:rFonts w:hint="eastAsia" w:cs="仿宋"/>
          <w:bCs/>
          <w:color w:val="auto"/>
          <w:sz w:val="24"/>
          <w:lang w:eastAsia="zh-CN"/>
        </w:rPr>
        <w:t>评审</w:t>
      </w:r>
      <w:r>
        <w:rPr>
          <w:rFonts w:hint="eastAsia" w:ascii="宋体" w:hAnsi="宋体" w:cs="仿宋"/>
          <w:bCs/>
          <w:color w:val="auto"/>
          <w:sz w:val="24"/>
          <w:lang w:eastAsia="zh-CN"/>
        </w:rPr>
        <w:t>原则</w:t>
      </w:r>
    </w:p>
    <w:p w14:paraId="1476CD3A">
      <w:pPr>
        <w:spacing w:line="360" w:lineRule="auto"/>
        <w:ind w:firstLine="480" w:firstLineChars="200"/>
        <w:rPr>
          <w:rFonts w:ascii="宋体" w:hAnsi="宋体" w:cs="仿宋"/>
          <w:color w:val="auto"/>
          <w:sz w:val="24"/>
          <w:lang w:eastAsia="zh-CN"/>
        </w:rPr>
      </w:pPr>
      <w:r>
        <w:rPr>
          <w:rFonts w:hint="eastAsia" w:cs="仿宋"/>
          <w:bCs/>
          <w:color w:val="auto"/>
          <w:sz w:val="24"/>
          <w:lang w:eastAsia="zh-CN"/>
        </w:rPr>
        <w:t>评审</w:t>
      </w:r>
      <w:r>
        <w:rPr>
          <w:rFonts w:hint="eastAsia" w:ascii="宋体" w:hAnsi="宋体" w:cs="仿宋"/>
          <w:bCs/>
          <w:color w:val="auto"/>
          <w:sz w:val="24"/>
          <w:lang w:eastAsia="zh-CN"/>
        </w:rPr>
        <w:t>遵循公平、公正、科学、择优的原则。</w:t>
      </w:r>
    </w:p>
    <w:p w14:paraId="2CABF23A">
      <w:pPr>
        <w:spacing w:line="360" w:lineRule="auto"/>
        <w:rPr>
          <w:rFonts w:ascii="宋体" w:hAnsi="宋体" w:cs="仿宋"/>
          <w:color w:val="auto"/>
          <w:sz w:val="24"/>
          <w:lang w:eastAsia="zh-CN"/>
        </w:rPr>
      </w:pPr>
      <w:r>
        <w:rPr>
          <w:rFonts w:hint="eastAsia" w:ascii="宋体" w:hAnsi="宋体" w:cs="仿宋"/>
          <w:bCs/>
          <w:color w:val="auto"/>
          <w:sz w:val="24"/>
          <w:lang w:eastAsia="zh-CN"/>
        </w:rPr>
        <w:t>三、</w:t>
      </w:r>
      <w:r>
        <w:rPr>
          <w:rFonts w:hint="eastAsia" w:cs="仿宋"/>
          <w:bCs/>
          <w:color w:val="auto"/>
          <w:sz w:val="24"/>
          <w:lang w:eastAsia="zh-CN"/>
        </w:rPr>
        <w:t>评审</w:t>
      </w:r>
      <w:r>
        <w:rPr>
          <w:rFonts w:hint="eastAsia" w:ascii="宋体" w:hAnsi="宋体" w:cs="仿宋"/>
          <w:bCs/>
          <w:color w:val="auto"/>
          <w:sz w:val="24"/>
          <w:lang w:eastAsia="zh-CN"/>
        </w:rPr>
        <w:t>组织及服务</w:t>
      </w:r>
    </w:p>
    <w:p w14:paraId="5B7871D6">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1、为做好</w:t>
      </w:r>
      <w:r>
        <w:rPr>
          <w:rFonts w:hint="eastAsia" w:cs="仿宋"/>
          <w:bCs/>
          <w:color w:val="auto"/>
          <w:sz w:val="24"/>
          <w:lang w:eastAsia="zh-CN"/>
        </w:rPr>
        <w:t>评审</w:t>
      </w:r>
      <w:r>
        <w:rPr>
          <w:rFonts w:hint="eastAsia" w:ascii="宋体" w:hAnsi="宋体" w:cs="仿宋"/>
          <w:bCs/>
          <w:color w:val="auto"/>
          <w:sz w:val="24"/>
          <w:lang w:eastAsia="zh-CN"/>
        </w:rPr>
        <w:t>工作，成立</w:t>
      </w:r>
      <w:r>
        <w:rPr>
          <w:rFonts w:hint="eastAsia" w:cs="仿宋"/>
          <w:bCs/>
          <w:color w:val="auto"/>
          <w:sz w:val="24"/>
          <w:lang w:eastAsia="zh-CN"/>
        </w:rPr>
        <w:t>评审</w:t>
      </w:r>
      <w:r>
        <w:rPr>
          <w:rFonts w:hint="eastAsia" w:ascii="宋体" w:hAnsi="宋体" w:cs="仿宋"/>
          <w:bCs/>
          <w:color w:val="auto"/>
          <w:sz w:val="24"/>
          <w:lang w:eastAsia="zh-CN"/>
        </w:rPr>
        <w:t>委员会和工作小组。</w:t>
      </w:r>
    </w:p>
    <w:p w14:paraId="36B4059F">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2、</w:t>
      </w:r>
      <w:r>
        <w:rPr>
          <w:rFonts w:hint="eastAsia" w:cs="仿宋"/>
          <w:bCs/>
          <w:color w:val="auto"/>
          <w:sz w:val="24"/>
          <w:lang w:eastAsia="zh-CN"/>
        </w:rPr>
        <w:t>评审</w:t>
      </w:r>
      <w:r>
        <w:rPr>
          <w:rFonts w:hint="eastAsia" w:ascii="宋体" w:hAnsi="宋体" w:cs="仿宋"/>
          <w:bCs/>
          <w:color w:val="auto"/>
          <w:sz w:val="24"/>
          <w:lang w:eastAsia="zh-CN"/>
        </w:rPr>
        <w:t>委员会</w:t>
      </w:r>
    </w:p>
    <w:p w14:paraId="3348674D">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2.1</w:t>
      </w:r>
      <w:r>
        <w:rPr>
          <w:rFonts w:hint="eastAsia" w:cs="仿宋"/>
          <w:bCs/>
          <w:color w:val="auto"/>
          <w:sz w:val="24"/>
          <w:lang w:eastAsia="zh-CN"/>
        </w:rPr>
        <w:t>评审</w:t>
      </w:r>
      <w:r>
        <w:rPr>
          <w:rFonts w:hint="eastAsia" w:ascii="宋体" w:hAnsi="宋体" w:cs="仿宋"/>
          <w:bCs/>
          <w:color w:val="auto"/>
          <w:sz w:val="24"/>
          <w:lang w:eastAsia="zh-CN"/>
        </w:rPr>
        <w:t>委员会由</w:t>
      </w:r>
      <w:r>
        <w:rPr>
          <w:rFonts w:hint="eastAsia" w:cs="仿宋"/>
          <w:bCs/>
          <w:color w:val="auto"/>
          <w:sz w:val="24"/>
          <w:lang w:eastAsia="zh-CN"/>
        </w:rPr>
        <w:t>采购</w:t>
      </w:r>
      <w:r>
        <w:rPr>
          <w:rFonts w:hint="eastAsia" w:ascii="宋体" w:hAnsi="宋体" w:cs="仿宋"/>
          <w:bCs/>
          <w:color w:val="auto"/>
          <w:sz w:val="24"/>
          <w:lang w:eastAsia="zh-CN"/>
        </w:rPr>
        <w:t>人依法组建，</w:t>
      </w:r>
      <w:r>
        <w:rPr>
          <w:rFonts w:hint="eastAsia" w:cs="仿宋"/>
          <w:bCs/>
          <w:color w:val="auto"/>
          <w:sz w:val="24"/>
          <w:lang w:eastAsia="zh-CN"/>
        </w:rPr>
        <w:t>评审</w:t>
      </w:r>
      <w:r>
        <w:rPr>
          <w:rFonts w:hint="eastAsia" w:ascii="宋体" w:hAnsi="宋体" w:cs="仿宋"/>
          <w:bCs/>
          <w:color w:val="auto"/>
          <w:sz w:val="24"/>
          <w:lang w:eastAsia="zh-CN"/>
        </w:rPr>
        <w:t>委员会成员由</w:t>
      </w:r>
      <w:r>
        <w:rPr>
          <w:rFonts w:hint="eastAsia" w:cs="仿宋"/>
          <w:bCs/>
          <w:color w:val="auto"/>
          <w:sz w:val="24"/>
          <w:lang w:eastAsia="zh-CN"/>
        </w:rPr>
        <w:t>采购人</w:t>
      </w:r>
      <w:r>
        <w:rPr>
          <w:rFonts w:hint="eastAsia" w:ascii="宋体" w:hAnsi="宋体" w:cs="仿宋"/>
          <w:bCs/>
          <w:color w:val="auto"/>
          <w:sz w:val="24"/>
          <w:lang w:eastAsia="zh-CN"/>
        </w:rPr>
        <w:t>代表及熟悉相关业务的有关技术、经济等方面的专家组成。</w:t>
      </w:r>
    </w:p>
    <w:p w14:paraId="7BAFB3D6">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2.2</w:t>
      </w:r>
      <w:r>
        <w:rPr>
          <w:rFonts w:hint="eastAsia" w:cs="仿宋"/>
          <w:bCs/>
          <w:color w:val="auto"/>
          <w:sz w:val="24"/>
          <w:lang w:eastAsia="zh-CN"/>
        </w:rPr>
        <w:t>评审</w:t>
      </w:r>
      <w:r>
        <w:rPr>
          <w:rFonts w:hint="eastAsia" w:ascii="宋体" w:hAnsi="宋体" w:cs="仿宋"/>
          <w:bCs/>
          <w:color w:val="auto"/>
          <w:sz w:val="24"/>
          <w:lang w:eastAsia="zh-CN"/>
        </w:rPr>
        <w:t>委员会成员为</w:t>
      </w:r>
      <w:r>
        <w:rPr>
          <w:rFonts w:hint="eastAsia" w:cs="仿宋"/>
          <w:bCs/>
          <w:color w:val="auto"/>
          <w:sz w:val="24"/>
          <w:lang w:eastAsia="zh-CN"/>
        </w:rPr>
        <w:t>3</w:t>
      </w:r>
      <w:r>
        <w:rPr>
          <w:rFonts w:hint="eastAsia" w:ascii="宋体" w:hAnsi="宋体" w:cs="仿宋"/>
          <w:bCs/>
          <w:color w:val="auto"/>
          <w:sz w:val="24"/>
          <w:lang w:eastAsia="zh-CN"/>
        </w:rPr>
        <w:t>人及以上单数。</w:t>
      </w:r>
    </w:p>
    <w:p w14:paraId="1E9301CB">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2.3</w:t>
      </w:r>
      <w:r>
        <w:rPr>
          <w:rFonts w:hint="eastAsia" w:cs="仿宋"/>
          <w:bCs/>
          <w:color w:val="auto"/>
          <w:sz w:val="24"/>
          <w:lang w:eastAsia="zh-CN"/>
        </w:rPr>
        <w:t>评审</w:t>
      </w:r>
      <w:r>
        <w:rPr>
          <w:rFonts w:hint="eastAsia" w:ascii="宋体" w:hAnsi="宋体" w:cs="仿宋"/>
          <w:bCs/>
          <w:color w:val="auto"/>
          <w:sz w:val="24"/>
          <w:lang w:eastAsia="zh-CN"/>
        </w:rPr>
        <w:t>工作由</w:t>
      </w:r>
      <w:r>
        <w:rPr>
          <w:rFonts w:hint="eastAsia" w:cs="仿宋"/>
          <w:bCs/>
          <w:color w:val="auto"/>
          <w:sz w:val="24"/>
          <w:lang w:eastAsia="zh-CN"/>
        </w:rPr>
        <w:t>评审</w:t>
      </w:r>
      <w:r>
        <w:rPr>
          <w:rFonts w:hint="eastAsia" w:ascii="宋体" w:hAnsi="宋体" w:cs="仿宋"/>
          <w:bCs/>
          <w:color w:val="auto"/>
          <w:sz w:val="24"/>
          <w:lang w:eastAsia="zh-CN"/>
        </w:rPr>
        <w:t>委员会负责。</w:t>
      </w:r>
    </w:p>
    <w:p w14:paraId="08B895B3">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3、工作小组</w:t>
      </w:r>
    </w:p>
    <w:p w14:paraId="2C53BC69">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3.1由</w:t>
      </w:r>
      <w:r>
        <w:rPr>
          <w:rFonts w:hint="eastAsia" w:cs="仿宋"/>
          <w:bCs/>
          <w:color w:val="auto"/>
          <w:sz w:val="24"/>
          <w:lang w:eastAsia="zh-CN"/>
        </w:rPr>
        <w:t>采购人</w:t>
      </w:r>
      <w:r>
        <w:rPr>
          <w:rFonts w:hint="eastAsia" w:ascii="宋体" w:hAnsi="宋体" w:cs="仿宋"/>
          <w:bCs/>
          <w:color w:val="auto"/>
          <w:sz w:val="24"/>
          <w:lang w:eastAsia="zh-CN"/>
        </w:rPr>
        <w:t>组成工作小组，为</w:t>
      </w:r>
      <w:r>
        <w:rPr>
          <w:rFonts w:hint="eastAsia" w:cs="仿宋"/>
          <w:bCs/>
          <w:color w:val="auto"/>
          <w:sz w:val="24"/>
          <w:lang w:eastAsia="zh-CN"/>
        </w:rPr>
        <w:t>评审</w:t>
      </w:r>
      <w:r>
        <w:rPr>
          <w:rFonts w:hint="eastAsia" w:ascii="宋体" w:hAnsi="宋体" w:cs="仿宋"/>
          <w:bCs/>
          <w:color w:val="auto"/>
          <w:sz w:val="24"/>
          <w:lang w:eastAsia="zh-CN"/>
        </w:rPr>
        <w:t>委员会服务。</w:t>
      </w:r>
    </w:p>
    <w:p w14:paraId="236FCD75">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3.2工作小组承担保管</w:t>
      </w:r>
      <w:r>
        <w:rPr>
          <w:rFonts w:hint="eastAsia" w:cs="仿宋"/>
          <w:bCs/>
          <w:color w:val="auto"/>
          <w:sz w:val="24"/>
          <w:lang w:eastAsia="zh-CN"/>
        </w:rPr>
        <w:t>谈判</w:t>
      </w:r>
      <w:r>
        <w:rPr>
          <w:rFonts w:hint="eastAsia" w:ascii="宋体" w:hAnsi="宋体" w:cs="仿宋"/>
          <w:bCs/>
          <w:color w:val="auto"/>
          <w:sz w:val="24"/>
          <w:lang w:eastAsia="zh-CN"/>
        </w:rPr>
        <w:t>文件、</w:t>
      </w:r>
      <w:r>
        <w:rPr>
          <w:rFonts w:hint="eastAsia" w:cs="仿宋"/>
          <w:bCs/>
          <w:color w:val="auto"/>
          <w:sz w:val="24"/>
          <w:lang w:eastAsia="zh-CN"/>
        </w:rPr>
        <w:t>响应</w:t>
      </w:r>
      <w:r>
        <w:rPr>
          <w:rFonts w:hint="eastAsia" w:ascii="宋体" w:hAnsi="宋体" w:cs="仿宋"/>
          <w:bCs/>
          <w:color w:val="auto"/>
          <w:sz w:val="24"/>
          <w:lang w:eastAsia="zh-CN"/>
        </w:rPr>
        <w:t>文件、发放</w:t>
      </w:r>
      <w:r>
        <w:rPr>
          <w:rFonts w:hint="eastAsia" w:cs="仿宋"/>
          <w:bCs/>
          <w:color w:val="auto"/>
          <w:sz w:val="24"/>
          <w:lang w:eastAsia="zh-CN"/>
        </w:rPr>
        <w:t>评审</w:t>
      </w:r>
      <w:r>
        <w:rPr>
          <w:rFonts w:hint="eastAsia" w:ascii="宋体" w:hAnsi="宋体" w:cs="仿宋"/>
          <w:bCs/>
          <w:color w:val="auto"/>
          <w:sz w:val="24"/>
          <w:lang w:eastAsia="zh-CN"/>
        </w:rPr>
        <w:t>资料、</w:t>
      </w:r>
      <w:r>
        <w:rPr>
          <w:rFonts w:hint="eastAsia" w:cs="仿宋"/>
          <w:bCs/>
          <w:color w:val="auto"/>
          <w:sz w:val="24"/>
          <w:lang w:eastAsia="zh-CN"/>
        </w:rPr>
        <w:t>响应</w:t>
      </w:r>
      <w:r>
        <w:rPr>
          <w:rFonts w:hint="eastAsia" w:ascii="宋体" w:hAnsi="宋体" w:cs="仿宋"/>
          <w:bCs/>
          <w:color w:val="auto"/>
          <w:sz w:val="24"/>
          <w:lang w:eastAsia="zh-CN"/>
        </w:rPr>
        <w:t>文件摘录汇总、基础数据对比及会议服务。</w:t>
      </w:r>
    </w:p>
    <w:p w14:paraId="1329B5A8">
      <w:pPr>
        <w:spacing w:line="360" w:lineRule="auto"/>
        <w:rPr>
          <w:rFonts w:ascii="宋体" w:hAnsi="宋体" w:cs="仿宋"/>
          <w:bCs/>
          <w:color w:val="auto"/>
          <w:sz w:val="24"/>
          <w:lang w:eastAsia="zh-CN"/>
        </w:rPr>
      </w:pPr>
      <w:r>
        <w:rPr>
          <w:rFonts w:hint="eastAsia" w:ascii="宋体" w:hAnsi="宋体" w:cs="仿宋"/>
          <w:bCs/>
          <w:color w:val="auto"/>
          <w:sz w:val="24"/>
          <w:lang w:eastAsia="zh-CN"/>
        </w:rPr>
        <w:t>四、</w:t>
      </w:r>
      <w:r>
        <w:rPr>
          <w:rFonts w:hint="eastAsia" w:cs="仿宋"/>
          <w:bCs/>
          <w:color w:val="auto"/>
          <w:sz w:val="24"/>
          <w:lang w:eastAsia="zh-CN"/>
        </w:rPr>
        <w:t>评审</w:t>
      </w:r>
      <w:r>
        <w:rPr>
          <w:rFonts w:hint="eastAsia" w:ascii="宋体" w:hAnsi="宋体" w:cs="仿宋"/>
          <w:bCs/>
          <w:color w:val="auto"/>
          <w:sz w:val="24"/>
          <w:lang w:eastAsia="zh-CN"/>
        </w:rPr>
        <w:t>程序及内容</w:t>
      </w:r>
    </w:p>
    <w:p w14:paraId="422AB1B1">
      <w:pPr>
        <w:spacing w:line="360" w:lineRule="auto"/>
        <w:ind w:firstLine="420" w:firstLineChars="200"/>
        <w:rPr>
          <w:rFonts w:cs="仿宋"/>
          <w:bCs/>
          <w:color w:val="auto"/>
          <w:lang w:eastAsia="zh-CN"/>
        </w:rPr>
      </w:pPr>
      <w:r>
        <w:rPr>
          <w:rFonts w:hint="eastAsia" w:cs="仿宋"/>
          <w:bCs/>
          <w:color w:val="auto"/>
          <w:lang w:eastAsia="zh-CN"/>
        </w:rPr>
        <w:t>1、评审方法：由资格审查、综合评</w:t>
      </w:r>
      <w:r>
        <w:rPr>
          <w:rFonts w:hint="eastAsia" w:ascii="宋体" w:hAnsi="宋体" w:eastAsia="宋体" w:cs="宋体"/>
          <w:bCs/>
          <w:color w:val="auto"/>
          <w:lang w:eastAsia="zh-CN"/>
        </w:rPr>
        <w:t>审</w:t>
      </w:r>
      <w:r>
        <w:rPr>
          <w:rFonts w:hint="eastAsia" w:cs="仿宋"/>
          <w:bCs/>
          <w:color w:val="auto"/>
          <w:lang w:eastAsia="zh-CN"/>
        </w:rPr>
        <w:t>两部分。</w:t>
      </w:r>
    </w:p>
    <w:p w14:paraId="7AEFADF6">
      <w:pPr>
        <w:spacing w:line="360" w:lineRule="auto"/>
        <w:ind w:firstLine="420" w:firstLineChars="200"/>
        <w:rPr>
          <w:rFonts w:cs="仿宋"/>
          <w:bCs/>
          <w:color w:val="auto"/>
          <w:lang w:eastAsia="zh-CN"/>
        </w:rPr>
      </w:pPr>
      <w:r>
        <w:rPr>
          <w:rFonts w:hint="eastAsia" w:cs="仿宋"/>
          <w:bCs/>
          <w:color w:val="auto"/>
          <w:lang w:eastAsia="zh-CN"/>
        </w:rPr>
        <w:t>2、资格审查：按对供应商的资格要求、缴纳保证金等情况进行评审。详见《资格审查表》。</w:t>
      </w:r>
    </w:p>
    <w:p w14:paraId="57F1AE54">
      <w:pPr>
        <w:spacing w:line="360" w:lineRule="auto"/>
        <w:ind w:firstLine="420" w:firstLineChars="200"/>
        <w:rPr>
          <w:rFonts w:ascii="宋体" w:hAnsi="宋体" w:cs="仿宋"/>
          <w:bCs/>
          <w:color w:val="auto"/>
          <w:sz w:val="24"/>
          <w:lang w:eastAsia="zh-CN"/>
        </w:rPr>
      </w:pPr>
      <w:r>
        <w:rPr>
          <w:rFonts w:hint="eastAsia" w:cs="仿宋"/>
          <w:bCs/>
          <w:color w:val="auto"/>
          <w:lang w:eastAsia="zh-CN"/>
        </w:rPr>
        <w:t>3、综合评</w:t>
      </w:r>
      <w:r>
        <w:rPr>
          <w:rFonts w:hint="eastAsia" w:ascii="宋体" w:hAnsi="宋体" w:eastAsia="宋体" w:cs="宋体"/>
          <w:bCs/>
          <w:color w:val="auto"/>
          <w:lang w:eastAsia="zh-CN"/>
        </w:rPr>
        <w:t>审</w:t>
      </w:r>
      <w:r>
        <w:rPr>
          <w:rFonts w:hint="eastAsia" w:cs="仿宋"/>
          <w:bCs/>
          <w:color w:val="auto"/>
          <w:lang w:eastAsia="zh-CN"/>
        </w:rPr>
        <w:t>：通过资格审查后，根据供应商的商务、技术和价格等进行综合评</w:t>
      </w:r>
      <w:r>
        <w:rPr>
          <w:rFonts w:hint="eastAsia" w:ascii="宋体" w:hAnsi="宋体" w:eastAsia="宋体" w:cs="宋体"/>
          <w:bCs/>
          <w:color w:val="auto"/>
          <w:lang w:eastAsia="zh-CN"/>
        </w:rPr>
        <w:t>审</w:t>
      </w:r>
      <w:r>
        <w:rPr>
          <w:rFonts w:hint="eastAsia" w:cs="仿宋"/>
          <w:bCs/>
          <w:color w:val="auto"/>
          <w:lang w:eastAsia="zh-CN"/>
        </w:rPr>
        <w:t>。</w:t>
      </w:r>
    </w:p>
    <w:p w14:paraId="6DB99F02">
      <w:pPr>
        <w:spacing w:line="360" w:lineRule="auto"/>
        <w:rPr>
          <w:rFonts w:ascii="宋体" w:hAnsi="宋体" w:cs="仿宋"/>
          <w:bCs/>
          <w:color w:val="auto"/>
          <w:sz w:val="24"/>
          <w:lang w:eastAsia="zh-CN"/>
        </w:rPr>
      </w:pPr>
      <w:r>
        <w:rPr>
          <w:rFonts w:hint="eastAsia" w:ascii="宋体" w:hAnsi="宋体" w:cs="仿宋"/>
          <w:bCs/>
          <w:color w:val="auto"/>
          <w:sz w:val="24"/>
          <w:lang w:eastAsia="zh-CN"/>
        </w:rPr>
        <w:t>五、</w:t>
      </w:r>
      <w:r>
        <w:rPr>
          <w:rFonts w:hint="eastAsia" w:cs="仿宋"/>
          <w:bCs/>
          <w:color w:val="auto"/>
          <w:sz w:val="24"/>
          <w:lang w:eastAsia="zh-CN"/>
        </w:rPr>
        <w:t>评审</w:t>
      </w:r>
      <w:r>
        <w:rPr>
          <w:rFonts w:hint="eastAsia" w:ascii="宋体" w:hAnsi="宋体" w:cs="仿宋"/>
          <w:bCs/>
          <w:color w:val="auto"/>
          <w:sz w:val="24"/>
          <w:lang w:eastAsia="zh-CN"/>
        </w:rPr>
        <w:t>报告</w:t>
      </w:r>
    </w:p>
    <w:p w14:paraId="05160F69">
      <w:pPr>
        <w:spacing w:line="360" w:lineRule="auto"/>
        <w:ind w:firstLine="480" w:firstLineChars="200"/>
        <w:rPr>
          <w:rFonts w:ascii="宋体" w:hAnsi="宋体" w:cs="仿宋"/>
          <w:bCs/>
          <w:color w:val="auto"/>
          <w:sz w:val="24"/>
          <w:lang w:eastAsia="zh-CN"/>
        </w:rPr>
      </w:pPr>
      <w:r>
        <w:rPr>
          <w:rFonts w:hint="eastAsia" w:ascii="宋体" w:hAnsi="宋体" w:cs="仿宋"/>
          <w:bCs/>
          <w:color w:val="auto"/>
          <w:sz w:val="24"/>
          <w:lang w:eastAsia="zh-CN"/>
        </w:rPr>
        <w:t>1、</w:t>
      </w:r>
      <w:r>
        <w:rPr>
          <w:rFonts w:hint="eastAsia" w:cs="仿宋"/>
          <w:bCs/>
          <w:color w:val="auto"/>
          <w:sz w:val="24"/>
          <w:lang w:eastAsia="zh-CN"/>
        </w:rPr>
        <w:t>评审</w:t>
      </w:r>
      <w:r>
        <w:rPr>
          <w:rFonts w:hint="eastAsia" w:ascii="宋体" w:hAnsi="宋体" w:cs="仿宋"/>
          <w:bCs/>
          <w:color w:val="auto"/>
          <w:sz w:val="24"/>
          <w:lang w:eastAsia="zh-CN"/>
        </w:rPr>
        <w:t>委员会根据</w:t>
      </w:r>
      <w:r>
        <w:rPr>
          <w:rFonts w:hint="eastAsia" w:cs="仿宋"/>
          <w:bCs/>
          <w:color w:val="auto"/>
          <w:sz w:val="24"/>
          <w:lang w:eastAsia="zh-CN"/>
        </w:rPr>
        <w:t>评审</w:t>
      </w:r>
      <w:r>
        <w:rPr>
          <w:rFonts w:hint="eastAsia" w:ascii="宋体" w:hAnsi="宋体" w:cs="仿宋"/>
          <w:bCs/>
          <w:color w:val="auto"/>
          <w:sz w:val="24"/>
          <w:lang w:eastAsia="zh-CN"/>
        </w:rPr>
        <w:t>情况和结果，向</w:t>
      </w:r>
      <w:r>
        <w:rPr>
          <w:rFonts w:hint="eastAsia" w:cs="仿宋"/>
          <w:bCs/>
          <w:color w:val="auto"/>
          <w:sz w:val="24"/>
          <w:lang w:eastAsia="zh-CN"/>
        </w:rPr>
        <w:t>采购人</w:t>
      </w:r>
      <w:r>
        <w:rPr>
          <w:rFonts w:hint="eastAsia" w:ascii="宋体" w:hAnsi="宋体" w:cs="仿宋"/>
          <w:bCs/>
          <w:color w:val="auto"/>
          <w:sz w:val="24"/>
          <w:lang w:eastAsia="zh-CN"/>
        </w:rPr>
        <w:t>提交</w:t>
      </w:r>
      <w:r>
        <w:rPr>
          <w:rFonts w:hint="eastAsia" w:cs="仿宋"/>
          <w:bCs/>
          <w:color w:val="auto"/>
          <w:sz w:val="24"/>
          <w:lang w:eastAsia="zh-CN"/>
        </w:rPr>
        <w:t>评审</w:t>
      </w:r>
      <w:r>
        <w:rPr>
          <w:rFonts w:hint="eastAsia" w:ascii="宋体" w:hAnsi="宋体" w:cs="仿宋"/>
          <w:bCs/>
          <w:color w:val="auto"/>
          <w:sz w:val="24"/>
          <w:lang w:eastAsia="zh-CN"/>
        </w:rPr>
        <w:t>报告。</w:t>
      </w:r>
      <w:r>
        <w:rPr>
          <w:rFonts w:hint="eastAsia" w:cs="仿宋"/>
          <w:bCs/>
          <w:color w:val="auto"/>
          <w:sz w:val="24"/>
          <w:lang w:eastAsia="zh-CN"/>
        </w:rPr>
        <w:t>评审</w:t>
      </w:r>
      <w:r>
        <w:rPr>
          <w:rFonts w:hint="eastAsia" w:ascii="宋体" w:hAnsi="宋体" w:cs="仿宋"/>
          <w:bCs/>
          <w:color w:val="auto"/>
          <w:sz w:val="24"/>
          <w:lang w:eastAsia="zh-CN"/>
        </w:rPr>
        <w:t>报告由</w:t>
      </w:r>
      <w:r>
        <w:rPr>
          <w:rFonts w:hint="eastAsia" w:cs="仿宋"/>
          <w:bCs/>
          <w:color w:val="auto"/>
          <w:sz w:val="24"/>
          <w:lang w:eastAsia="zh-CN"/>
        </w:rPr>
        <w:t>评审</w:t>
      </w:r>
      <w:r>
        <w:rPr>
          <w:rFonts w:hint="eastAsia" w:ascii="宋体" w:hAnsi="宋体" w:cs="仿宋"/>
          <w:bCs/>
          <w:color w:val="auto"/>
          <w:sz w:val="24"/>
          <w:lang w:eastAsia="zh-CN"/>
        </w:rPr>
        <w:t>委员会起草，</w:t>
      </w:r>
      <w:r>
        <w:rPr>
          <w:rFonts w:hint="eastAsia" w:cs="仿宋"/>
          <w:bCs/>
          <w:color w:val="auto"/>
          <w:sz w:val="24"/>
          <w:lang w:eastAsia="zh-CN"/>
        </w:rPr>
        <w:t>评审</w:t>
      </w:r>
      <w:r>
        <w:rPr>
          <w:rFonts w:hint="eastAsia" w:ascii="宋体" w:hAnsi="宋体" w:cs="仿宋"/>
          <w:bCs/>
          <w:color w:val="auto"/>
          <w:sz w:val="24"/>
          <w:lang w:eastAsia="zh-CN"/>
        </w:rPr>
        <w:t>委员会全体成员应在</w:t>
      </w:r>
      <w:r>
        <w:rPr>
          <w:rFonts w:hint="eastAsia" w:cs="仿宋"/>
          <w:bCs/>
          <w:color w:val="auto"/>
          <w:sz w:val="24"/>
          <w:lang w:eastAsia="zh-CN"/>
        </w:rPr>
        <w:t>评审</w:t>
      </w:r>
      <w:r>
        <w:rPr>
          <w:rFonts w:hint="eastAsia" w:ascii="宋体" w:hAnsi="宋体" w:cs="仿宋"/>
          <w:bCs/>
          <w:color w:val="auto"/>
          <w:sz w:val="24"/>
          <w:lang w:eastAsia="zh-CN"/>
        </w:rPr>
        <w:t>报告上签字确认，</w:t>
      </w:r>
      <w:r>
        <w:rPr>
          <w:rFonts w:hint="eastAsia" w:cs="仿宋"/>
          <w:bCs/>
          <w:color w:val="auto"/>
          <w:sz w:val="24"/>
          <w:lang w:eastAsia="zh-CN"/>
        </w:rPr>
        <w:t>评审</w:t>
      </w:r>
      <w:r>
        <w:rPr>
          <w:rFonts w:hint="eastAsia" w:ascii="宋体" w:hAnsi="宋体" w:cs="仿宋"/>
          <w:bCs/>
          <w:color w:val="auto"/>
          <w:sz w:val="24"/>
          <w:lang w:eastAsia="zh-CN"/>
        </w:rPr>
        <w:t>专家如有保留意见可以在</w:t>
      </w:r>
      <w:r>
        <w:rPr>
          <w:rFonts w:hint="eastAsia" w:cs="仿宋"/>
          <w:bCs/>
          <w:color w:val="auto"/>
          <w:sz w:val="24"/>
          <w:lang w:eastAsia="zh-CN"/>
        </w:rPr>
        <w:t>评审</w:t>
      </w:r>
      <w:r>
        <w:rPr>
          <w:rFonts w:hint="eastAsia" w:ascii="宋体" w:hAnsi="宋体" w:cs="仿宋"/>
          <w:bCs/>
          <w:color w:val="auto"/>
          <w:sz w:val="24"/>
          <w:lang w:eastAsia="zh-CN"/>
        </w:rPr>
        <w:t>报告中阐明。</w:t>
      </w:r>
    </w:p>
    <w:p w14:paraId="228EDF82">
      <w:pPr>
        <w:spacing w:line="360" w:lineRule="auto"/>
        <w:ind w:firstLine="480" w:firstLineChars="200"/>
        <w:rPr>
          <w:rFonts w:hint="eastAsia" w:ascii="宋体" w:hAnsi="宋体" w:eastAsia="宋体" w:cs="宋体"/>
          <w:sz w:val="24"/>
          <w:szCs w:val="24"/>
          <w:lang w:eastAsia="zh-CN"/>
        </w:rPr>
      </w:pPr>
      <w:r>
        <w:rPr>
          <w:rFonts w:hint="eastAsia" w:ascii="宋体" w:hAnsi="宋体" w:cs="仿宋"/>
          <w:bCs/>
          <w:color w:val="auto"/>
          <w:sz w:val="24"/>
          <w:lang w:eastAsia="zh-CN"/>
        </w:rPr>
        <w:t>2、</w:t>
      </w:r>
      <w:r>
        <w:rPr>
          <w:rFonts w:hint="eastAsia" w:cs="仿宋"/>
          <w:bCs/>
          <w:color w:val="auto"/>
          <w:sz w:val="24"/>
          <w:lang w:eastAsia="zh-CN"/>
        </w:rPr>
        <w:t>评审</w:t>
      </w:r>
      <w:r>
        <w:rPr>
          <w:rFonts w:hint="eastAsia" w:ascii="宋体" w:hAnsi="宋体" w:cs="仿宋"/>
          <w:bCs/>
          <w:color w:val="auto"/>
          <w:sz w:val="24"/>
          <w:lang w:eastAsia="zh-CN"/>
        </w:rPr>
        <w:t>委员会在</w:t>
      </w:r>
      <w:r>
        <w:rPr>
          <w:rFonts w:hint="eastAsia" w:cs="仿宋"/>
          <w:bCs/>
          <w:color w:val="auto"/>
          <w:sz w:val="24"/>
          <w:lang w:eastAsia="zh-CN"/>
        </w:rPr>
        <w:t>评审</w:t>
      </w:r>
      <w:r>
        <w:rPr>
          <w:rFonts w:hint="eastAsia" w:ascii="宋体" w:hAnsi="宋体" w:cs="仿宋"/>
          <w:bCs/>
          <w:color w:val="auto"/>
          <w:sz w:val="24"/>
          <w:lang w:eastAsia="zh-CN"/>
        </w:rPr>
        <w:t>报告中根据</w:t>
      </w:r>
      <w:r>
        <w:rPr>
          <w:rFonts w:hint="eastAsia" w:cs="仿宋"/>
          <w:bCs/>
          <w:color w:val="auto"/>
          <w:sz w:val="24"/>
          <w:lang w:eastAsia="zh-CN"/>
        </w:rPr>
        <w:t>综合得分高低</w:t>
      </w:r>
      <w:r>
        <w:rPr>
          <w:rFonts w:hint="eastAsia" w:ascii="宋体" w:hAnsi="宋体" w:cs="仿宋"/>
          <w:bCs/>
          <w:color w:val="auto"/>
          <w:sz w:val="24"/>
          <w:lang w:eastAsia="zh-CN"/>
        </w:rPr>
        <w:t>排序推荐前一至</w:t>
      </w:r>
      <w:r>
        <w:rPr>
          <w:rFonts w:hint="eastAsia" w:cs="仿宋"/>
          <w:bCs/>
          <w:color w:val="auto"/>
          <w:sz w:val="24"/>
          <w:lang w:eastAsia="zh-CN"/>
        </w:rPr>
        <w:t>二</w:t>
      </w:r>
      <w:r>
        <w:rPr>
          <w:rFonts w:hint="eastAsia" w:ascii="宋体" w:hAnsi="宋体" w:cs="仿宋"/>
          <w:bCs/>
          <w:color w:val="auto"/>
          <w:sz w:val="24"/>
          <w:lang w:eastAsia="zh-CN"/>
        </w:rPr>
        <w:t>名为</w:t>
      </w:r>
      <w:r>
        <w:rPr>
          <w:rFonts w:hint="eastAsia" w:cs="仿宋"/>
          <w:bCs/>
          <w:color w:val="auto"/>
          <w:sz w:val="24"/>
          <w:lang w:eastAsia="zh-CN"/>
        </w:rPr>
        <w:t>成交</w:t>
      </w:r>
      <w:r>
        <w:rPr>
          <w:rFonts w:hint="eastAsia" w:ascii="宋体" w:hAnsi="宋体" w:cs="仿宋"/>
          <w:bCs/>
          <w:color w:val="auto"/>
          <w:sz w:val="24"/>
          <w:lang w:eastAsia="zh-CN"/>
        </w:rPr>
        <w:t>候选人。</w:t>
      </w:r>
    </w:p>
    <w:p w14:paraId="5E2149D4">
      <w:pPr>
        <w:spacing w:line="218" w:lineRule="auto"/>
        <w:rPr>
          <w:rFonts w:hint="eastAsia" w:ascii="宋体" w:hAnsi="宋体" w:eastAsia="宋体" w:cs="宋体"/>
          <w:sz w:val="24"/>
          <w:szCs w:val="24"/>
          <w:lang w:eastAsia="zh-CN"/>
        </w:rPr>
        <w:sectPr>
          <w:footerReference r:id="rId8" w:type="default"/>
          <w:pgSz w:w="11906" w:h="16839"/>
          <w:pgMar w:top="1431" w:right="1643" w:bottom="1156" w:left="1652" w:header="0" w:footer="994" w:gutter="0"/>
          <w:cols w:space="720" w:num="1"/>
        </w:sectPr>
      </w:pPr>
    </w:p>
    <w:p w14:paraId="3E1A2E6C">
      <w:pPr>
        <w:pStyle w:val="11"/>
        <w:spacing w:line="335" w:lineRule="auto"/>
        <w:rPr>
          <w:lang w:eastAsia="zh-CN"/>
        </w:rPr>
      </w:pPr>
    </w:p>
    <w:p w14:paraId="0D73A800">
      <w:pPr>
        <w:pStyle w:val="11"/>
        <w:spacing w:line="335" w:lineRule="auto"/>
        <w:rPr>
          <w:lang w:eastAsia="zh-CN"/>
        </w:rPr>
      </w:pPr>
    </w:p>
    <w:p w14:paraId="2900B569">
      <w:pPr>
        <w:spacing w:before="98" w:line="219" w:lineRule="auto"/>
        <w:ind w:left="4158"/>
        <w:rPr>
          <w:rFonts w:hint="eastAsia" w:ascii="宋体" w:hAnsi="宋体" w:eastAsia="宋体" w:cs="宋体"/>
          <w:sz w:val="30"/>
          <w:szCs w:val="30"/>
          <w:lang w:eastAsia="zh-CN"/>
        </w:rPr>
      </w:pPr>
      <w:r>
        <w:rPr>
          <w:rFonts w:ascii="宋体" w:hAnsi="宋体" w:eastAsia="宋体" w:cs="宋体"/>
          <w:b/>
          <w:bCs/>
          <w:spacing w:val="-7"/>
          <w:sz w:val="30"/>
          <w:szCs w:val="30"/>
          <w:lang w:eastAsia="zh-CN"/>
        </w:rPr>
        <w:t>1.资格审查表</w:t>
      </w:r>
    </w:p>
    <w:p w14:paraId="1B3C3378">
      <w:pPr>
        <w:spacing w:before="143" w:line="211" w:lineRule="auto"/>
        <w:ind w:left="641"/>
        <w:rPr>
          <w:rFonts w:hint="eastAsia" w:ascii="宋体" w:hAnsi="宋体" w:eastAsia="宋体" w:cs="宋体"/>
          <w:sz w:val="24"/>
          <w:szCs w:val="24"/>
          <w:lang w:eastAsia="zh-CN"/>
        </w:rPr>
      </w:pPr>
      <w:r>
        <w:rPr>
          <w:rFonts w:ascii="宋体" w:hAnsi="宋体" w:eastAsia="宋体" w:cs="宋体"/>
          <w:spacing w:val="-5"/>
          <w:sz w:val="24"/>
          <w:szCs w:val="24"/>
          <w:lang w:eastAsia="zh-CN"/>
        </w:rPr>
        <w:t>编号：</w:t>
      </w:r>
      <w:r>
        <w:rPr>
          <w:rFonts w:ascii="宋体" w:hAnsi="宋体" w:eastAsia="宋体" w:cs="宋体"/>
          <w:sz w:val="24"/>
          <w:szCs w:val="24"/>
          <w:lang w:eastAsia="zh-CN"/>
        </w:rPr>
        <w:t xml:space="preserve">                 </w:t>
      </w:r>
      <w:r>
        <w:rPr>
          <w:rFonts w:ascii="宋体" w:hAnsi="宋体" w:eastAsia="宋体" w:cs="宋体"/>
          <w:spacing w:val="-5"/>
          <w:sz w:val="24"/>
          <w:szCs w:val="24"/>
          <w:lang w:eastAsia="zh-CN"/>
        </w:rPr>
        <w:t>谈判时间：  年 月</w:t>
      </w:r>
      <w:r>
        <w:rPr>
          <w:rFonts w:ascii="宋体" w:hAnsi="宋体" w:eastAsia="宋体" w:cs="宋体"/>
          <w:spacing w:val="61"/>
          <w:sz w:val="24"/>
          <w:szCs w:val="24"/>
          <w:lang w:eastAsia="zh-CN"/>
        </w:rPr>
        <w:t xml:space="preserve"> </w:t>
      </w:r>
      <w:r>
        <w:rPr>
          <w:rFonts w:ascii="宋体" w:hAnsi="宋体" w:eastAsia="宋体" w:cs="宋体"/>
          <w:spacing w:val="-5"/>
          <w:sz w:val="24"/>
          <w:szCs w:val="24"/>
          <w:lang w:eastAsia="zh-CN"/>
        </w:rPr>
        <w:t>日</w:t>
      </w:r>
      <w:r>
        <w:rPr>
          <w:rFonts w:ascii="宋体" w:hAnsi="宋体" w:eastAsia="宋体" w:cs="宋体"/>
          <w:spacing w:val="3"/>
          <w:sz w:val="24"/>
          <w:szCs w:val="24"/>
          <w:lang w:eastAsia="zh-CN"/>
        </w:rPr>
        <w:t xml:space="preserve">      </w:t>
      </w:r>
      <w:r>
        <w:rPr>
          <w:rFonts w:ascii="宋体" w:hAnsi="宋体" w:eastAsia="宋体" w:cs="宋体"/>
          <w:spacing w:val="-5"/>
          <w:sz w:val="24"/>
          <w:szCs w:val="24"/>
          <w:lang w:eastAsia="zh-CN"/>
        </w:rPr>
        <w:t>审查日期：</w:t>
      </w:r>
    </w:p>
    <w:tbl>
      <w:tblPr>
        <w:tblStyle w:val="20"/>
        <w:tblW w:w="943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60"/>
        <w:gridCol w:w="1220"/>
        <w:gridCol w:w="197"/>
        <w:gridCol w:w="1417"/>
        <w:gridCol w:w="1134"/>
        <w:gridCol w:w="1569"/>
        <w:gridCol w:w="1161"/>
        <w:gridCol w:w="2181"/>
      </w:tblGrid>
      <w:tr w14:paraId="68B74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6" w:hRule="atLeast"/>
          <w:jc w:val="center"/>
        </w:trPr>
        <w:tc>
          <w:tcPr>
            <w:tcW w:w="1780" w:type="dxa"/>
            <w:gridSpan w:val="2"/>
            <w:vAlign w:val="center"/>
          </w:tcPr>
          <w:p w14:paraId="6F8F5084">
            <w:pPr>
              <w:pStyle w:val="21"/>
              <w:spacing w:before="41" w:line="211" w:lineRule="auto"/>
              <w:ind w:left="409"/>
              <w:rPr>
                <w:rFonts w:hint="eastAsia"/>
              </w:rPr>
            </w:pPr>
            <w:r>
              <w:rPr>
                <w:spacing w:val="-3"/>
              </w:rPr>
              <w:t>谈判名称</w:t>
            </w:r>
          </w:p>
        </w:tc>
        <w:tc>
          <w:tcPr>
            <w:tcW w:w="7659" w:type="dxa"/>
            <w:gridSpan w:val="6"/>
            <w:vAlign w:val="center"/>
          </w:tcPr>
          <w:p w14:paraId="6810D48F"/>
        </w:tc>
      </w:tr>
      <w:tr w14:paraId="7B30C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jc w:val="center"/>
        </w:trPr>
        <w:tc>
          <w:tcPr>
            <w:tcW w:w="1780" w:type="dxa"/>
            <w:gridSpan w:val="2"/>
            <w:vAlign w:val="center"/>
          </w:tcPr>
          <w:p w14:paraId="5B4AD166">
            <w:pPr>
              <w:pStyle w:val="21"/>
              <w:spacing w:before="31" w:line="212" w:lineRule="auto"/>
              <w:ind w:left="409"/>
              <w:rPr>
                <w:rFonts w:hint="eastAsia"/>
              </w:rPr>
            </w:pPr>
            <w:r>
              <w:rPr>
                <w:spacing w:val="-3"/>
              </w:rPr>
              <w:t>谈判内容</w:t>
            </w:r>
          </w:p>
        </w:tc>
        <w:tc>
          <w:tcPr>
            <w:tcW w:w="7659" w:type="dxa"/>
            <w:gridSpan w:val="6"/>
            <w:vAlign w:val="center"/>
          </w:tcPr>
          <w:p w14:paraId="6050148A"/>
        </w:tc>
      </w:tr>
      <w:tr w14:paraId="03D9A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9" w:hRule="atLeast"/>
          <w:jc w:val="center"/>
        </w:trPr>
        <w:tc>
          <w:tcPr>
            <w:tcW w:w="560" w:type="dxa"/>
            <w:textDirection w:val="tbRlV"/>
            <w:vAlign w:val="center"/>
          </w:tcPr>
          <w:p w14:paraId="1A55BDE6">
            <w:pPr>
              <w:pStyle w:val="21"/>
              <w:spacing w:before="155" w:line="210" w:lineRule="auto"/>
              <w:ind w:left="33"/>
              <w:rPr>
                <w:rFonts w:hint="eastAsia"/>
              </w:rPr>
            </w:pPr>
            <w:r>
              <w:rPr>
                <w:spacing w:val="-1"/>
              </w:rPr>
              <w:t>序</w:t>
            </w:r>
            <w:r>
              <w:rPr>
                <w:spacing w:val="-47"/>
              </w:rPr>
              <w:t xml:space="preserve"> </w:t>
            </w:r>
            <w:r>
              <w:rPr>
                <w:spacing w:val="-1"/>
              </w:rPr>
              <w:t>号</w:t>
            </w:r>
          </w:p>
        </w:tc>
        <w:tc>
          <w:tcPr>
            <w:tcW w:w="1417" w:type="dxa"/>
            <w:gridSpan w:val="2"/>
            <w:vAlign w:val="center"/>
          </w:tcPr>
          <w:p w14:paraId="6662DFB8">
            <w:pPr>
              <w:pStyle w:val="21"/>
              <w:spacing w:before="190" w:line="219" w:lineRule="auto"/>
              <w:rPr>
                <w:rFonts w:hint="eastAsia"/>
              </w:rPr>
            </w:pPr>
            <w:r>
              <w:rPr>
                <w:spacing w:val="-2"/>
              </w:rPr>
              <w:t>报名单位</w:t>
            </w:r>
          </w:p>
        </w:tc>
        <w:tc>
          <w:tcPr>
            <w:tcW w:w="1417" w:type="dxa"/>
            <w:vAlign w:val="center"/>
          </w:tcPr>
          <w:p w14:paraId="7A2D7466">
            <w:pPr>
              <w:pStyle w:val="21"/>
              <w:spacing w:before="34" w:line="225" w:lineRule="auto"/>
              <w:ind w:left="359" w:right="112" w:hanging="241"/>
              <w:rPr>
                <w:rFonts w:hint="eastAsia"/>
              </w:rPr>
            </w:pPr>
            <w:r>
              <w:rPr>
                <w:spacing w:val="-4"/>
              </w:rPr>
              <w:t>注册资</w:t>
            </w:r>
            <w:r>
              <w:t>金</w:t>
            </w:r>
          </w:p>
        </w:tc>
        <w:tc>
          <w:tcPr>
            <w:tcW w:w="1134" w:type="dxa"/>
            <w:vAlign w:val="center"/>
          </w:tcPr>
          <w:p w14:paraId="3CD77619">
            <w:pPr>
              <w:pStyle w:val="21"/>
              <w:spacing w:before="88" w:line="209" w:lineRule="auto"/>
              <w:ind w:left="33"/>
              <w:rPr>
                <w:rFonts w:hint="eastAsia"/>
              </w:rPr>
            </w:pPr>
            <w:r>
              <w:rPr>
                <w:spacing w:val="-1"/>
              </w:rPr>
              <w:t>业绩</w:t>
            </w:r>
            <w:r>
              <w:rPr>
                <w:rFonts w:hint="eastAsia"/>
                <w:spacing w:val="-1"/>
                <w:lang w:eastAsia="zh-CN"/>
              </w:rPr>
              <w:t>名称</w:t>
            </w:r>
          </w:p>
        </w:tc>
        <w:tc>
          <w:tcPr>
            <w:tcW w:w="1569" w:type="dxa"/>
            <w:vAlign w:val="center"/>
          </w:tcPr>
          <w:p w14:paraId="30DA7F77">
            <w:pPr>
              <w:pStyle w:val="21"/>
              <w:spacing w:before="34" w:line="225" w:lineRule="auto"/>
              <w:ind w:left="293" w:right="161" w:hanging="120"/>
              <w:rPr>
                <w:rFonts w:hint="eastAsia"/>
              </w:rPr>
            </w:pPr>
            <w:r>
              <w:rPr>
                <w:spacing w:val="-6"/>
              </w:rPr>
              <w:t>联系</w:t>
            </w:r>
            <w:r>
              <w:t>人</w:t>
            </w:r>
          </w:p>
        </w:tc>
        <w:tc>
          <w:tcPr>
            <w:tcW w:w="1161" w:type="dxa"/>
            <w:vAlign w:val="center"/>
          </w:tcPr>
          <w:p w14:paraId="4958BEAA">
            <w:pPr>
              <w:pStyle w:val="21"/>
              <w:spacing w:before="190" w:line="221" w:lineRule="auto"/>
              <w:rPr>
                <w:rFonts w:hint="eastAsia"/>
              </w:rPr>
            </w:pPr>
            <w:r>
              <w:rPr>
                <w:spacing w:val="-3"/>
              </w:rPr>
              <w:t>联系电话</w:t>
            </w:r>
          </w:p>
        </w:tc>
        <w:tc>
          <w:tcPr>
            <w:tcW w:w="2181" w:type="dxa"/>
            <w:vAlign w:val="center"/>
          </w:tcPr>
          <w:p w14:paraId="6C974FB4">
            <w:pPr>
              <w:pStyle w:val="21"/>
              <w:spacing w:before="189" w:line="221" w:lineRule="auto"/>
              <w:ind w:firstLine="230" w:firstLineChars="100"/>
              <w:rPr>
                <w:rFonts w:hint="eastAsia"/>
              </w:rPr>
            </w:pPr>
            <w:r>
              <w:rPr>
                <w:rFonts w:hint="eastAsia"/>
                <w:spacing w:val="-5"/>
                <w:lang w:eastAsia="zh-CN"/>
              </w:rPr>
              <w:t>业绩数量</w:t>
            </w:r>
          </w:p>
        </w:tc>
      </w:tr>
      <w:tr w14:paraId="359B4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jc w:val="center"/>
        </w:trPr>
        <w:tc>
          <w:tcPr>
            <w:tcW w:w="560" w:type="dxa"/>
            <w:vAlign w:val="center"/>
          </w:tcPr>
          <w:p w14:paraId="4FA84196">
            <w:pPr>
              <w:pStyle w:val="21"/>
              <w:spacing w:before="70" w:line="182" w:lineRule="auto"/>
              <w:ind w:left="236"/>
              <w:rPr>
                <w:rFonts w:hint="eastAsia"/>
              </w:rPr>
            </w:pPr>
            <w:r>
              <w:t>1</w:t>
            </w:r>
          </w:p>
        </w:tc>
        <w:tc>
          <w:tcPr>
            <w:tcW w:w="1417" w:type="dxa"/>
            <w:gridSpan w:val="2"/>
            <w:vAlign w:val="center"/>
          </w:tcPr>
          <w:p w14:paraId="04E8E892"/>
        </w:tc>
        <w:tc>
          <w:tcPr>
            <w:tcW w:w="1417" w:type="dxa"/>
            <w:vAlign w:val="center"/>
          </w:tcPr>
          <w:p w14:paraId="762ECAAE"/>
        </w:tc>
        <w:tc>
          <w:tcPr>
            <w:tcW w:w="1134" w:type="dxa"/>
            <w:vAlign w:val="center"/>
          </w:tcPr>
          <w:p w14:paraId="7C226467"/>
        </w:tc>
        <w:tc>
          <w:tcPr>
            <w:tcW w:w="1569" w:type="dxa"/>
            <w:vAlign w:val="center"/>
          </w:tcPr>
          <w:p w14:paraId="4E72B289"/>
        </w:tc>
        <w:tc>
          <w:tcPr>
            <w:tcW w:w="1161" w:type="dxa"/>
            <w:vAlign w:val="center"/>
          </w:tcPr>
          <w:p w14:paraId="213819FF"/>
        </w:tc>
        <w:tc>
          <w:tcPr>
            <w:tcW w:w="2181" w:type="dxa"/>
            <w:vAlign w:val="center"/>
          </w:tcPr>
          <w:p w14:paraId="004A1884"/>
        </w:tc>
      </w:tr>
      <w:tr w14:paraId="4E5AE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jc w:val="center"/>
        </w:trPr>
        <w:tc>
          <w:tcPr>
            <w:tcW w:w="560" w:type="dxa"/>
            <w:vAlign w:val="center"/>
          </w:tcPr>
          <w:p w14:paraId="20277C95">
            <w:pPr>
              <w:pStyle w:val="21"/>
              <w:spacing w:before="70" w:line="182" w:lineRule="auto"/>
              <w:ind w:left="221"/>
              <w:rPr>
                <w:rFonts w:hint="eastAsia"/>
              </w:rPr>
            </w:pPr>
            <w:r>
              <w:t>2</w:t>
            </w:r>
          </w:p>
        </w:tc>
        <w:tc>
          <w:tcPr>
            <w:tcW w:w="1417" w:type="dxa"/>
            <w:gridSpan w:val="2"/>
            <w:vAlign w:val="center"/>
          </w:tcPr>
          <w:p w14:paraId="25E3224B"/>
        </w:tc>
        <w:tc>
          <w:tcPr>
            <w:tcW w:w="1417" w:type="dxa"/>
            <w:vAlign w:val="center"/>
          </w:tcPr>
          <w:p w14:paraId="15A759A3"/>
        </w:tc>
        <w:tc>
          <w:tcPr>
            <w:tcW w:w="1134" w:type="dxa"/>
            <w:vAlign w:val="center"/>
          </w:tcPr>
          <w:p w14:paraId="50267324"/>
        </w:tc>
        <w:tc>
          <w:tcPr>
            <w:tcW w:w="1569" w:type="dxa"/>
            <w:vAlign w:val="center"/>
          </w:tcPr>
          <w:p w14:paraId="6E1C1D5E"/>
        </w:tc>
        <w:tc>
          <w:tcPr>
            <w:tcW w:w="1161" w:type="dxa"/>
            <w:vAlign w:val="center"/>
          </w:tcPr>
          <w:p w14:paraId="479F9190"/>
        </w:tc>
        <w:tc>
          <w:tcPr>
            <w:tcW w:w="2181" w:type="dxa"/>
            <w:vAlign w:val="center"/>
          </w:tcPr>
          <w:p w14:paraId="4FA0293D"/>
        </w:tc>
      </w:tr>
      <w:tr w14:paraId="2BC1E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jc w:val="center"/>
        </w:trPr>
        <w:tc>
          <w:tcPr>
            <w:tcW w:w="560" w:type="dxa"/>
            <w:vAlign w:val="center"/>
          </w:tcPr>
          <w:p w14:paraId="0F646CF1">
            <w:pPr>
              <w:pStyle w:val="21"/>
              <w:spacing w:before="71" w:line="181" w:lineRule="auto"/>
              <w:ind w:left="223"/>
              <w:rPr>
                <w:rFonts w:hint="eastAsia"/>
              </w:rPr>
            </w:pPr>
            <w:r>
              <w:t>3</w:t>
            </w:r>
          </w:p>
        </w:tc>
        <w:tc>
          <w:tcPr>
            <w:tcW w:w="1417" w:type="dxa"/>
            <w:gridSpan w:val="2"/>
            <w:vAlign w:val="center"/>
          </w:tcPr>
          <w:p w14:paraId="1AB4217C"/>
        </w:tc>
        <w:tc>
          <w:tcPr>
            <w:tcW w:w="1417" w:type="dxa"/>
            <w:vAlign w:val="center"/>
          </w:tcPr>
          <w:p w14:paraId="0B7553EA"/>
        </w:tc>
        <w:tc>
          <w:tcPr>
            <w:tcW w:w="1134" w:type="dxa"/>
            <w:vAlign w:val="center"/>
          </w:tcPr>
          <w:p w14:paraId="2F20DE86"/>
        </w:tc>
        <w:tc>
          <w:tcPr>
            <w:tcW w:w="1569" w:type="dxa"/>
            <w:vAlign w:val="center"/>
          </w:tcPr>
          <w:p w14:paraId="1B057C18"/>
        </w:tc>
        <w:tc>
          <w:tcPr>
            <w:tcW w:w="1161" w:type="dxa"/>
            <w:vAlign w:val="center"/>
          </w:tcPr>
          <w:p w14:paraId="3C766E26"/>
        </w:tc>
        <w:tc>
          <w:tcPr>
            <w:tcW w:w="2181" w:type="dxa"/>
            <w:vAlign w:val="center"/>
          </w:tcPr>
          <w:p w14:paraId="266C81F2"/>
        </w:tc>
      </w:tr>
      <w:tr w14:paraId="7EFAA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jc w:val="center"/>
        </w:trPr>
        <w:tc>
          <w:tcPr>
            <w:tcW w:w="560" w:type="dxa"/>
            <w:vAlign w:val="center"/>
          </w:tcPr>
          <w:p w14:paraId="48F1CFFD">
            <w:pPr>
              <w:pStyle w:val="21"/>
              <w:spacing w:before="70" w:line="182" w:lineRule="auto"/>
              <w:ind w:left="217"/>
              <w:rPr>
                <w:rFonts w:hint="eastAsia"/>
              </w:rPr>
            </w:pPr>
            <w:r>
              <w:t>4</w:t>
            </w:r>
          </w:p>
        </w:tc>
        <w:tc>
          <w:tcPr>
            <w:tcW w:w="1417" w:type="dxa"/>
            <w:gridSpan w:val="2"/>
            <w:vAlign w:val="center"/>
          </w:tcPr>
          <w:p w14:paraId="7FC4ECA1"/>
        </w:tc>
        <w:tc>
          <w:tcPr>
            <w:tcW w:w="1417" w:type="dxa"/>
            <w:vAlign w:val="center"/>
          </w:tcPr>
          <w:p w14:paraId="40B6E6E2"/>
        </w:tc>
        <w:tc>
          <w:tcPr>
            <w:tcW w:w="1134" w:type="dxa"/>
            <w:vAlign w:val="center"/>
          </w:tcPr>
          <w:p w14:paraId="43C43276"/>
        </w:tc>
        <w:tc>
          <w:tcPr>
            <w:tcW w:w="1569" w:type="dxa"/>
            <w:vAlign w:val="center"/>
          </w:tcPr>
          <w:p w14:paraId="58D0A1D9"/>
        </w:tc>
        <w:tc>
          <w:tcPr>
            <w:tcW w:w="1161" w:type="dxa"/>
            <w:vAlign w:val="center"/>
          </w:tcPr>
          <w:p w14:paraId="56DDD886"/>
        </w:tc>
        <w:tc>
          <w:tcPr>
            <w:tcW w:w="2181" w:type="dxa"/>
            <w:vAlign w:val="center"/>
          </w:tcPr>
          <w:p w14:paraId="17C86C97"/>
        </w:tc>
      </w:tr>
      <w:tr w14:paraId="23F38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jc w:val="center"/>
        </w:trPr>
        <w:tc>
          <w:tcPr>
            <w:tcW w:w="9439" w:type="dxa"/>
            <w:gridSpan w:val="8"/>
            <w:vAlign w:val="center"/>
          </w:tcPr>
          <w:p w14:paraId="705FBD71">
            <w:pPr>
              <w:pStyle w:val="21"/>
              <w:spacing w:before="31" w:line="212" w:lineRule="auto"/>
              <w:ind w:left="3771"/>
              <w:rPr>
                <w:rFonts w:hint="eastAsia"/>
              </w:rPr>
            </w:pPr>
            <w:r>
              <w:rPr>
                <w:spacing w:val="-3"/>
              </w:rPr>
              <w:t>资质审查情况说明</w:t>
            </w:r>
          </w:p>
        </w:tc>
      </w:tr>
      <w:tr w14:paraId="457D6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5" w:hRule="atLeast"/>
          <w:jc w:val="center"/>
        </w:trPr>
        <w:tc>
          <w:tcPr>
            <w:tcW w:w="9439" w:type="dxa"/>
            <w:gridSpan w:val="8"/>
            <w:vAlign w:val="center"/>
          </w:tcPr>
          <w:p w14:paraId="503968FC">
            <w:pPr>
              <w:pStyle w:val="21"/>
              <w:spacing w:before="34" w:line="219" w:lineRule="auto"/>
              <w:ind w:left="124"/>
              <w:rPr>
                <w:rFonts w:hint="eastAsia"/>
                <w:lang w:eastAsia="zh-CN"/>
              </w:rPr>
            </w:pPr>
            <w:r>
              <w:rPr>
                <w:spacing w:val="-1"/>
                <w:lang w:eastAsia="zh-CN"/>
              </w:rPr>
              <w:t>（资质、业绩、技术、能力，谈判保证金等方面）</w:t>
            </w:r>
          </w:p>
        </w:tc>
      </w:tr>
      <w:tr w14:paraId="4190D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39" w:hRule="atLeast"/>
          <w:jc w:val="center"/>
        </w:trPr>
        <w:tc>
          <w:tcPr>
            <w:tcW w:w="1780" w:type="dxa"/>
            <w:gridSpan w:val="2"/>
            <w:tcBorders>
              <w:bottom w:val="single" w:color="000000" w:sz="2" w:space="0"/>
            </w:tcBorders>
            <w:vAlign w:val="center"/>
          </w:tcPr>
          <w:p w14:paraId="7739F20A">
            <w:pPr>
              <w:spacing w:line="309" w:lineRule="auto"/>
              <w:rPr>
                <w:lang w:eastAsia="zh-CN"/>
              </w:rPr>
            </w:pPr>
          </w:p>
          <w:p w14:paraId="05075708">
            <w:pPr>
              <w:spacing w:line="310" w:lineRule="auto"/>
              <w:rPr>
                <w:lang w:eastAsia="zh-CN"/>
              </w:rPr>
            </w:pPr>
          </w:p>
          <w:p w14:paraId="05A288E1">
            <w:pPr>
              <w:pStyle w:val="21"/>
              <w:spacing w:before="78" w:line="219" w:lineRule="auto"/>
              <w:ind w:left="180"/>
              <w:rPr>
                <w:rFonts w:hint="eastAsia"/>
              </w:rPr>
            </w:pPr>
            <w:r>
              <w:rPr>
                <w:spacing w:val="-4"/>
              </w:rPr>
              <w:t>资格审查人员</w:t>
            </w:r>
          </w:p>
        </w:tc>
        <w:tc>
          <w:tcPr>
            <w:tcW w:w="7659" w:type="dxa"/>
            <w:gridSpan w:val="6"/>
            <w:tcBorders>
              <w:bottom w:val="single" w:color="000000" w:sz="2" w:space="0"/>
            </w:tcBorders>
            <w:vAlign w:val="center"/>
          </w:tcPr>
          <w:p w14:paraId="4769D157"/>
        </w:tc>
      </w:tr>
      <w:tr w14:paraId="065FD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9" w:hRule="atLeast"/>
          <w:jc w:val="center"/>
        </w:trPr>
        <w:tc>
          <w:tcPr>
            <w:tcW w:w="1780" w:type="dxa"/>
            <w:gridSpan w:val="2"/>
            <w:tcBorders>
              <w:top w:val="single" w:color="000000" w:sz="2" w:space="0"/>
              <w:left w:val="single" w:color="000000" w:sz="2" w:space="0"/>
              <w:bottom w:val="single" w:color="000000" w:sz="2" w:space="0"/>
              <w:right w:val="single" w:color="000000" w:sz="2" w:space="0"/>
            </w:tcBorders>
            <w:vAlign w:val="center"/>
          </w:tcPr>
          <w:p w14:paraId="6D03A6CA">
            <w:pPr>
              <w:pStyle w:val="21"/>
              <w:spacing w:before="174" w:line="221" w:lineRule="auto"/>
              <w:ind w:left="455"/>
              <w:rPr>
                <w:rFonts w:hint="eastAsia"/>
                <w:sz w:val="22"/>
                <w:szCs w:val="22"/>
              </w:rPr>
            </w:pPr>
            <w:r>
              <w:rPr>
                <w:spacing w:val="-3"/>
                <w:sz w:val="22"/>
                <w:szCs w:val="22"/>
              </w:rPr>
              <w:t>工作人员</w:t>
            </w:r>
          </w:p>
        </w:tc>
        <w:tc>
          <w:tcPr>
            <w:tcW w:w="7659" w:type="dxa"/>
            <w:gridSpan w:val="6"/>
            <w:tcBorders>
              <w:top w:val="single" w:color="000000" w:sz="2" w:space="0"/>
              <w:left w:val="single" w:color="000000" w:sz="2" w:space="0"/>
              <w:bottom w:val="single" w:color="000000" w:sz="2" w:space="0"/>
              <w:right w:val="single" w:color="000000" w:sz="2" w:space="0"/>
            </w:tcBorders>
            <w:vAlign w:val="center"/>
          </w:tcPr>
          <w:p w14:paraId="40227E9B"/>
        </w:tc>
      </w:tr>
    </w:tbl>
    <w:p w14:paraId="25D93A22">
      <w:pPr>
        <w:pStyle w:val="11"/>
      </w:pPr>
    </w:p>
    <w:p w14:paraId="1997FEA6">
      <w:pPr>
        <w:sectPr>
          <w:footerReference r:id="rId9" w:type="default"/>
          <w:pgSz w:w="11906" w:h="16839"/>
          <w:pgMar w:top="1431" w:right="1526" w:bottom="1156" w:left="925" w:header="0" w:footer="994" w:gutter="0"/>
          <w:cols w:space="720" w:num="1"/>
        </w:sectPr>
      </w:pPr>
    </w:p>
    <w:p w14:paraId="7710E70A">
      <w:pPr>
        <w:spacing w:before="148" w:line="219" w:lineRule="auto"/>
        <w:ind w:left="2704"/>
        <w:outlineLvl w:val="0"/>
        <w:rPr>
          <w:rFonts w:hint="eastAsia" w:ascii="宋体" w:hAnsi="宋体" w:eastAsia="宋体" w:cs="宋体"/>
          <w:color w:val="EE0000"/>
          <w:sz w:val="30"/>
          <w:szCs w:val="30"/>
        </w:rPr>
      </w:pPr>
      <w:r>
        <w:rPr>
          <w:rFonts w:ascii="宋体" w:hAnsi="宋体" w:eastAsia="宋体" w:cs="宋体"/>
          <w:b/>
          <w:bCs/>
          <w:color w:val="EE0000"/>
          <w:spacing w:val="-4"/>
          <w:sz w:val="30"/>
          <w:szCs w:val="30"/>
        </w:rPr>
        <w:t>2.</w:t>
      </w:r>
      <w:r>
        <w:rPr>
          <w:rFonts w:ascii="宋体" w:hAnsi="宋体" w:eastAsia="宋体" w:cs="宋体"/>
          <w:color w:val="EE0000"/>
          <w:spacing w:val="-4"/>
          <w:sz w:val="30"/>
          <w:szCs w:val="30"/>
        </w:rPr>
        <w:t xml:space="preserve"> </w:t>
      </w:r>
      <w:r>
        <w:rPr>
          <w:rFonts w:ascii="宋体" w:hAnsi="宋体" w:eastAsia="宋体" w:cs="宋体"/>
          <w:b/>
          <w:bCs/>
          <w:color w:val="EE0000"/>
          <w:spacing w:val="-4"/>
          <w:sz w:val="30"/>
          <w:szCs w:val="30"/>
        </w:rPr>
        <w:t>商务和技术评分表</w:t>
      </w:r>
    </w:p>
    <w:p w14:paraId="58116EFA">
      <w:pPr>
        <w:pStyle w:val="6"/>
        <w:rPr>
          <w:lang w:val="en-US" w:eastAsia="zh-CN"/>
        </w:rPr>
      </w:pPr>
    </w:p>
    <w:tbl>
      <w:tblPr>
        <w:tblStyle w:val="14"/>
        <w:tblW w:w="890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708"/>
        <w:gridCol w:w="1560"/>
        <w:gridCol w:w="6094"/>
      </w:tblGrid>
      <w:tr w14:paraId="6382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807" w:type="dxa"/>
            <w:gridSpan w:val="3"/>
            <w:vAlign w:val="center"/>
          </w:tcPr>
          <w:p w14:paraId="7B32F045">
            <w:r>
              <w:t>分值构成</w:t>
            </w:r>
          </w:p>
          <w:p w14:paraId="6C38908F">
            <w:r>
              <w:t>(总分100分)</w:t>
            </w:r>
          </w:p>
        </w:tc>
        <w:tc>
          <w:tcPr>
            <w:tcW w:w="6094" w:type="dxa"/>
            <w:vAlign w:val="center"/>
          </w:tcPr>
          <w:p w14:paraId="510EA3C7">
            <w:pPr>
              <w:rPr>
                <w:lang w:eastAsia="zh-CN"/>
              </w:rPr>
            </w:pPr>
            <w:r>
              <w:rPr>
                <w:lang w:eastAsia="zh-CN"/>
              </w:rPr>
              <w:t>技术评价：</w:t>
            </w:r>
            <w:r>
              <w:rPr>
                <w:rFonts w:hint="eastAsia" w:eastAsiaTheme="minorEastAsia"/>
                <w:lang w:eastAsia="zh-CN"/>
              </w:rPr>
              <w:t>3</w:t>
            </w:r>
            <w:r>
              <w:rPr>
                <w:lang w:eastAsia="zh-CN"/>
              </w:rPr>
              <w:t>0分</w:t>
            </w:r>
          </w:p>
          <w:p w14:paraId="39ADDD70">
            <w:pPr>
              <w:rPr>
                <w:lang w:eastAsia="zh-CN"/>
              </w:rPr>
            </w:pPr>
            <w:r>
              <w:rPr>
                <w:lang w:eastAsia="zh-CN"/>
              </w:rPr>
              <w:t>商务评价：</w:t>
            </w:r>
            <w:r>
              <w:rPr>
                <w:rFonts w:hint="eastAsia" w:eastAsiaTheme="minorEastAsia"/>
                <w:lang w:eastAsia="zh-CN"/>
              </w:rPr>
              <w:t>2</w:t>
            </w:r>
            <w:r>
              <w:rPr>
                <w:lang w:eastAsia="zh-CN"/>
              </w:rPr>
              <w:t>0分</w:t>
            </w:r>
          </w:p>
          <w:p w14:paraId="5E14EADA">
            <w:r>
              <w:t>价格评价：</w:t>
            </w:r>
            <w:r>
              <w:rPr>
                <w:rFonts w:hint="eastAsia" w:eastAsiaTheme="minorEastAsia"/>
                <w:lang w:eastAsia="zh-CN"/>
              </w:rPr>
              <w:t>5</w:t>
            </w:r>
            <w:r>
              <w:t>0分</w:t>
            </w:r>
          </w:p>
        </w:tc>
      </w:tr>
      <w:tr w14:paraId="0DDE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539" w:type="dxa"/>
            <w:vMerge w:val="restart"/>
            <w:vAlign w:val="center"/>
          </w:tcPr>
          <w:p w14:paraId="22636BDB">
            <w:pPr>
              <w:rPr>
                <w:rFonts w:eastAsiaTheme="minorEastAsia"/>
                <w:lang w:eastAsia="zh-CN"/>
              </w:rPr>
            </w:pPr>
            <w:r>
              <w:rPr>
                <w:rFonts w:hint="eastAsia" w:eastAsiaTheme="minorEastAsia"/>
                <w:lang w:eastAsia="zh-CN"/>
              </w:rPr>
              <w:t>1.</w:t>
            </w:r>
          </w:p>
        </w:tc>
        <w:tc>
          <w:tcPr>
            <w:tcW w:w="708" w:type="dxa"/>
            <w:vMerge w:val="restart"/>
            <w:vAlign w:val="center"/>
          </w:tcPr>
          <w:p w14:paraId="5B2D7B69">
            <w:r>
              <w:t>技术评价评分标准</w:t>
            </w:r>
          </w:p>
        </w:tc>
        <w:tc>
          <w:tcPr>
            <w:tcW w:w="1560" w:type="dxa"/>
            <w:vAlign w:val="center"/>
          </w:tcPr>
          <w:p w14:paraId="7AE45697">
            <w:r>
              <w:t>服务方案（</w:t>
            </w:r>
            <w:r>
              <w:rPr>
                <w:rFonts w:hint="eastAsia" w:eastAsiaTheme="minorEastAsia"/>
                <w:lang w:eastAsia="zh-CN"/>
              </w:rPr>
              <w:t>2</w:t>
            </w:r>
            <w:r>
              <w:rPr>
                <w:rFonts w:hint="eastAsia"/>
              </w:rPr>
              <w:t>0</w:t>
            </w:r>
            <w:r>
              <w:t>分）</w:t>
            </w:r>
          </w:p>
        </w:tc>
        <w:tc>
          <w:tcPr>
            <w:tcW w:w="6094" w:type="dxa"/>
            <w:vAlign w:val="center"/>
          </w:tcPr>
          <w:p w14:paraId="7549E5B5">
            <w:pPr>
              <w:rPr>
                <w:rFonts w:hint="eastAsia" w:eastAsiaTheme="minorEastAsia"/>
                <w:lang w:eastAsia="zh-CN"/>
              </w:rPr>
            </w:pPr>
            <w:r>
              <w:rPr>
                <w:rFonts w:hint="eastAsia" w:eastAsiaTheme="minorEastAsia"/>
                <w:lang w:eastAsia="zh-CN"/>
              </w:rPr>
              <w:t>（0分）；无服务方案</w:t>
            </w:r>
          </w:p>
          <w:p w14:paraId="24DACAD4">
            <w:pPr>
              <w:rPr>
                <w:lang w:eastAsia="zh-CN"/>
              </w:rPr>
            </w:pPr>
            <w:r>
              <w:rPr>
                <w:lang w:eastAsia="zh-CN"/>
              </w:rPr>
              <w:t>（</w:t>
            </w:r>
            <w:r>
              <w:rPr>
                <w:rFonts w:hint="eastAsia" w:eastAsiaTheme="minorEastAsia"/>
                <w:lang w:eastAsia="zh-CN"/>
              </w:rPr>
              <w:t>1</w:t>
            </w:r>
            <w:r>
              <w:rPr>
                <w:lang w:eastAsia="zh-CN"/>
              </w:rPr>
              <w:t>～</w:t>
            </w:r>
            <w:r>
              <w:rPr>
                <w:rFonts w:hint="eastAsia" w:eastAsiaTheme="minorEastAsia"/>
                <w:lang w:eastAsia="zh-CN"/>
              </w:rPr>
              <w:t>6</w:t>
            </w:r>
            <w:r>
              <w:rPr>
                <w:lang w:eastAsia="zh-CN"/>
              </w:rPr>
              <w:t>分）服务方案一般；造价咨询服务方案内容较简单，对</w:t>
            </w:r>
            <w:r>
              <w:rPr>
                <w:rFonts w:hint="eastAsia"/>
                <w:lang w:eastAsia="zh-CN"/>
              </w:rPr>
              <w:t>工程造价过程</w:t>
            </w:r>
            <w:r>
              <w:rPr>
                <w:lang w:eastAsia="zh-CN"/>
              </w:rPr>
              <w:t>控制与跟踪审核咨询服务询服务的要点、难点有一定的阐述，方案措施可行。</w:t>
            </w:r>
          </w:p>
          <w:p w14:paraId="78A3F71C">
            <w:pPr>
              <w:rPr>
                <w:lang w:eastAsia="zh-CN"/>
              </w:rPr>
            </w:pPr>
            <w:r>
              <w:rPr>
                <w:lang w:eastAsia="zh-CN"/>
              </w:rPr>
              <w:t>（</w:t>
            </w:r>
            <w:r>
              <w:rPr>
                <w:rFonts w:hint="eastAsia" w:eastAsiaTheme="minorEastAsia"/>
                <w:lang w:eastAsia="zh-CN"/>
              </w:rPr>
              <w:t>7</w:t>
            </w:r>
            <w:r>
              <w:rPr>
                <w:lang w:eastAsia="zh-CN"/>
              </w:rPr>
              <w:t>～</w:t>
            </w:r>
            <w:r>
              <w:rPr>
                <w:rFonts w:hint="eastAsia" w:eastAsiaTheme="minorEastAsia"/>
                <w:lang w:eastAsia="zh-CN"/>
              </w:rPr>
              <w:t>12</w:t>
            </w:r>
            <w:r>
              <w:rPr>
                <w:lang w:eastAsia="zh-CN"/>
              </w:rPr>
              <w:t>分）：服务方案良好；造价咨询服务方案内容完整，对</w:t>
            </w:r>
            <w:r>
              <w:rPr>
                <w:rFonts w:hint="eastAsia"/>
                <w:lang w:eastAsia="zh-CN"/>
              </w:rPr>
              <w:t>工程造价过程</w:t>
            </w:r>
            <w:r>
              <w:rPr>
                <w:lang w:eastAsia="zh-CN"/>
              </w:rPr>
              <w:t>控制与跟踪审核咨询服务服务的要点、难点阐述明确，方案中针对性措施和手段可行性强。</w:t>
            </w:r>
          </w:p>
          <w:p w14:paraId="454BF40B">
            <w:pPr>
              <w:rPr>
                <w:lang w:eastAsia="zh-CN"/>
              </w:rPr>
            </w:pPr>
            <w:r>
              <w:rPr>
                <w:lang w:eastAsia="zh-CN"/>
              </w:rPr>
              <w:t>（</w:t>
            </w:r>
            <w:r>
              <w:rPr>
                <w:rFonts w:hint="eastAsia" w:eastAsiaTheme="minorEastAsia"/>
                <w:lang w:eastAsia="zh-CN"/>
              </w:rPr>
              <w:t>12</w:t>
            </w:r>
            <w:r>
              <w:rPr>
                <w:lang w:eastAsia="zh-CN"/>
              </w:rPr>
              <w:t>～</w:t>
            </w:r>
            <w:r>
              <w:rPr>
                <w:rFonts w:hint="eastAsia" w:eastAsiaTheme="minorEastAsia"/>
                <w:lang w:eastAsia="zh-CN"/>
              </w:rPr>
              <w:t>2</w:t>
            </w:r>
            <w:r>
              <w:rPr>
                <w:rFonts w:hint="eastAsia"/>
                <w:lang w:eastAsia="zh-CN"/>
              </w:rPr>
              <w:t>0</w:t>
            </w:r>
            <w:r>
              <w:rPr>
                <w:lang w:eastAsia="zh-CN"/>
              </w:rPr>
              <w:t>分）：服务方案优；造价咨询服务方案内容详细、完整，对</w:t>
            </w:r>
            <w:r>
              <w:rPr>
                <w:rFonts w:hint="eastAsia"/>
                <w:lang w:eastAsia="zh-CN"/>
              </w:rPr>
              <w:t>工程造价过程</w:t>
            </w:r>
            <w:r>
              <w:rPr>
                <w:lang w:eastAsia="zh-CN"/>
              </w:rPr>
              <w:t>控制与跟踪审核咨询服务服务的要点、难点阐述明确，方案中针对性措施和手段可行性强，具有新型、有效的工作管理方式</w:t>
            </w:r>
            <w:r>
              <w:rPr>
                <w:rFonts w:hint="eastAsia"/>
                <w:lang w:eastAsia="zh-CN"/>
              </w:rPr>
              <w:t>；</w:t>
            </w:r>
          </w:p>
        </w:tc>
      </w:tr>
      <w:tr w14:paraId="1FDE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39" w:type="dxa"/>
            <w:vMerge w:val="continue"/>
            <w:vAlign w:val="center"/>
          </w:tcPr>
          <w:p w14:paraId="1DCC9D85">
            <w:pPr>
              <w:rPr>
                <w:lang w:eastAsia="zh-CN"/>
              </w:rPr>
            </w:pPr>
          </w:p>
        </w:tc>
        <w:tc>
          <w:tcPr>
            <w:tcW w:w="708" w:type="dxa"/>
            <w:vMerge w:val="continue"/>
            <w:vAlign w:val="center"/>
          </w:tcPr>
          <w:p w14:paraId="4DC3C085">
            <w:pPr>
              <w:rPr>
                <w:lang w:eastAsia="zh-CN"/>
              </w:rPr>
            </w:pPr>
          </w:p>
        </w:tc>
        <w:tc>
          <w:tcPr>
            <w:tcW w:w="1560" w:type="dxa"/>
            <w:vAlign w:val="center"/>
          </w:tcPr>
          <w:p w14:paraId="69BD99E9">
            <w:r>
              <w:t>人员专业水平（</w:t>
            </w:r>
            <w:r>
              <w:rPr>
                <w:rFonts w:hint="eastAsia"/>
              </w:rPr>
              <w:t>10</w:t>
            </w:r>
            <w:r>
              <w:t>分）</w:t>
            </w:r>
          </w:p>
        </w:tc>
        <w:tc>
          <w:tcPr>
            <w:tcW w:w="6094" w:type="dxa"/>
            <w:vAlign w:val="center"/>
          </w:tcPr>
          <w:p w14:paraId="38C4F4C5">
            <w:pPr>
              <w:rPr>
                <w:rFonts w:hint="eastAsia" w:ascii="宋体" w:hAnsi="宋体" w:eastAsia="宋体" w:cs="宋体"/>
                <w:lang w:eastAsia="zh-CN"/>
              </w:rPr>
            </w:pPr>
            <w:r>
              <w:rPr>
                <w:rFonts w:ascii="宋体"/>
                <w:lang w:eastAsia="zh-CN"/>
              </w:rPr>
              <w:t>①</w:t>
            </w:r>
            <w:r>
              <w:rPr>
                <w:lang w:eastAsia="zh-CN"/>
              </w:rPr>
              <w:t>拟投入技术人员至少有</w:t>
            </w:r>
            <w:r>
              <w:rPr>
                <w:rFonts w:hint="eastAsia" w:eastAsiaTheme="minorEastAsia"/>
                <w:lang w:eastAsia="zh-CN"/>
              </w:rPr>
              <w:t>2</w:t>
            </w:r>
            <w:r>
              <w:rPr>
                <w:lang w:eastAsia="zh-CN"/>
              </w:rPr>
              <w:t>名土建专业国家</w:t>
            </w:r>
            <w:r>
              <w:rPr>
                <w:rFonts w:hint="eastAsia"/>
                <w:lang w:eastAsia="zh-CN"/>
              </w:rPr>
              <w:t>一级</w:t>
            </w:r>
            <w:r>
              <w:rPr>
                <w:lang w:eastAsia="zh-CN"/>
              </w:rPr>
              <w:t>注册造价师，</w:t>
            </w:r>
            <w:r>
              <w:rPr>
                <w:rFonts w:hint="eastAsia"/>
                <w:lang w:eastAsia="zh-CN"/>
              </w:rPr>
              <w:t>1</w:t>
            </w:r>
            <w:r>
              <w:rPr>
                <w:lang w:eastAsia="zh-CN"/>
              </w:rPr>
              <w:t>名安装专业国家</w:t>
            </w:r>
            <w:r>
              <w:rPr>
                <w:rFonts w:hint="eastAsia"/>
                <w:lang w:eastAsia="zh-CN"/>
              </w:rPr>
              <w:t>一级</w:t>
            </w:r>
            <w:r>
              <w:rPr>
                <w:lang w:eastAsia="zh-CN"/>
              </w:rPr>
              <w:t>注册造价师。满足以上条件的得</w:t>
            </w:r>
            <w:r>
              <w:rPr>
                <w:rFonts w:hint="eastAsia"/>
                <w:lang w:eastAsia="zh-CN"/>
              </w:rPr>
              <w:t>4</w:t>
            </w:r>
            <w:r>
              <w:rPr>
                <w:lang w:eastAsia="zh-CN"/>
              </w:rPr>
              <w:t>分，不能全部满足以上条件的不得分；每增加一名</w:t>
            </w:r>
            <w:r>
              <w:rPr>
                <w:rFonts w:hint="eastAsia"/>
                <w:lang w:eastAsia="zh-CN"/>
              </w:rPr>
              <w:t>具有中</w:t>
            </w:r>
            <w:r>
              <w:rPr>
                <w:lang w:eastAsia="zh-CN"/>
              </w:rPr>
              <w:t>级职称</w:t>
            </w:r>
            <w:r>
              <w:rPr>
                <w:rFonts w:hint="eastAsia"/>
                <w:lang w:eastAsia="zh-CN"/>
              </w:rPr>
              <w:t>以及一级注册造价师</w:t>
            </w:r>
            <w:r>
              <w:rPr>
                <w:lang w:eastAsia="zh-CN"/>
              </w:rPr>
              <w:t>的造价人员加1分，造价人员按最高职称计入，不重复计分</w:t>
            </w:r>
            <w:r>
              <w:rPr>
                <w:rFonts w:hint="eastAsia" w:ascii="宋体" w:hAnsi="宋体" w:eastAsia="宋体" w:cs="宋体"/>
                <w:lang w:eastAsia="zh-CN"/>
              </w:rPr>
              <w:t>。</w:t>
            </w:r>
          </w:p>
          <w:p w14:paraId="29C6798E">
            <w:pPr>
              <w:rPr>
                <w:lang w:eastAsia="zh-CN"/>
              </w:rPr>
            </w:pPr>
            <w:r>
              <w:rPr>
                <w:lang w:eastAsia="zh-CN"/>
              </w:rPr>
              <w:t>此项最多得分</w:t>
            </w:r>
            <w:r>
              <w:rPr>
                <w:rFonts w:hint="eastAsia" w:eastAsiaTheme="minorEastAsia"/>
                <w:lang w:eastAsia="zh-CN"/>
              </w:rPr>
              <w:t>6</w:t>
            </w:r>
            <w:r>
              <w:rPr>
                <w:lang w:eastAsia="zh-CN"/>
              </w:rPr>
              <w:t>分（须提供相关证书）；</w:t>
            </w:r>
          </w:p>
          <w:p w14:paraId="3E32045E">
            <w:pPr>
              <w:ind w:left="4"/>
              <w:rPr>
                <w:lang w:eastAsia="zh-CN"/>
              </w:rPr>
            </w:pPr>
            <w:r>
              <w:rPr>
                <w:rFonts w:hint="eastAsia" w:ascii="宋体" w:hAnsi="宋体" w:cs="宋体"/>
                <w:bCs/>
                <w:lang w:eastAsia="zh-CN"/>
              </w:rPr>
              <w:t>②</w:t>
            </w:r>
            <w:r>
              <w:rPr>
                <w:bCs/>
                <w:lang w:eastAsia="zh-CN"/>
              </w:rPr>
              <w:t>投标人拟投入项目负责人曾经负责过造价咨询项目工程造价</w:t>
            </w:r>
            <w:r>
              <w:rPr>
                <w:rFonts w:hint="eastAsia" w:eastAsiaTheme="minorEastAsia"/>
                <w:bCs/>
                <w:u w:val="single"/>
                <w:lang w:eastAsia="zh-CN"/>
              </w:rPr>
              <w:t>2000</w:t>
            </w:r>
            <w:r>
              <w:rPr>
                <w:bCs/>
                <w:lang w:eastAsia="zh-CN"/>
              </w:rPr>
              <w:t>万</w:t>
            </w:r>
            <w:r>
              <w:rPr>
                <w:rFonts w:hint="eastAsia"/>
                <w:bCs/>
                <w:lang w:eastAsia="zh-CN"/>
              </w:rPr>
              <w:t>元</w:t>
            </w:r>
            <w:r>
              <w:rPr>
                <w:bCs/>
                <w:lang w:eastAsia="zh-CN"/>
              </w:rPr>
              <w:t>以上得1分，每增加一个得1分，此项最多得</w:t>
            </w:r>
            <w:r>
              <w:rPr>
                <w:rFonts w:hint="eastAsia"/>
                <w:bCs/>
                <w:lang w:eastAsia="zh-CN"/>
              </w:rPr>
              <w:t>4</w:t>
            </w:r>
            <w:r>
              <w:rPr>
                <w:bCs/>
                <w:lang w:eastAsia="zh-CN"/>
              </w:rPr>
              <w:t>分；（须提供</w:t>
            </w:r>
            <w:r>
              <w:rPr>
                <w:lang w:eastAsia="zh-CN"/>
              </w:rPr>
              <w:t>中标通知书或合同协议书</w:t>
            </w:r>
            <w:r>
              <w:rPr>
                <w:rFonts w:hint="eastAsia"/>
                <w:lang w:eastAsia="zh-CN"/>
              </w:rPr>
              <w:t>等</w:t>
            </w:r>
            <w:r>
              <w:rPr>
                <w:bCs/>
                <w:lang w:eastAsia="zh-CN"/>
              </w:rPr>
              <w:t>相关证明</w:t>
            </w:r>
            <w:r>
              <w:rPr>
                <w:rFonts w:hint="eastAsia"/>
                <w:bCs/>
                <w:lang w:eastAsia="zh-CN"/>
              </w:rPr>
              <w:t>文件</w:t>
            </w:r>
            <w:r>
              <w:rPr>
                <w:bCs/>
                <w:lang w:eastAsia="zh-CN"/>
              </w:rPr>
              <w:t>）</w:t>
            </w:r>
          </w:p>
        </w:tc>
      </w:tr>
      <w:tr w14:paraId="1567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39" w:type="dxa"/>
            <w:vAlign w:val="center"/>
          </w:tcPr>
          <w:p w14:paraId="31BFF1CF">
            <w:pPr>
              <w:rPr>
                <w:rFonts w:eastAsiaTheme="minorEastAsia"/>
                <w:lang w:eastAsia="zh-CN"/>
              </w:rPr>
            </w:pPr>
            <w:r>
              <w:rPr>
                <w:rFonts w:hint="eastAsia" w:eastAsiaTheme="minorEastAsia"/>
                <w:lang w:eastAsia="zh-CN"/>
              </w:rPr>
              <w:t>2.</w:t>
            </w:r>
          </w:p>
        </w:tc>
        <w:tc>
          <w:tcPr>
            <w:tcW w:w="708" w:type="dxa"/>
            <w:vAlign w:val="center"/>
          </w:tcPr>
          <w:p w14:paraId="2BAC52DD">
            <w:r>
              <w:t>商务评价评分标准</w:t>
            </w:r>
          </w:p>
        </w:tc>
        <w:tc>
          <w:tcPr>
            <w:tcW w:w="1560" w:type="dxa"/>
            <w:vAlign w:val="center"/>
          </w:tcPr>
          <w:p w14:paraId="0CF3B8C3">
            <w:pPr>
              <w:rPr>
                <w:lang w:eastAsia="zh-CN"/>
              </w:rPr>
            </w:pPr>
            <w:r>
              <w:rPr>
                <w:lang w:eastAsia="zh-CN"/>
              </w:rPr>
              <w:t>企业信誉及实力（</w:t>
            </w:r>
            <w:r>
              <w:rPr>
                <w:rFonts w:hint="eastAsia" w:eastAsiaTheme="minorEastAsia"/>
                <w:lang w:eastAsia="zh-CN"/>
              </w:rPr>
              <w:t>2</w:t>
            </w:r>
            <w:r>
              <w:rPr>
                <w:rFonts w:hint="eastAsia"/>
                <w:lang w:eastAsia="zh-CN"/>
              </w:rPr>
              <w:t>0</w:t>
            </w:r>
            <w:r>
              <w:rPr>
                <w:lang w:eastAsia="zh-CN"/>
              </w:rPr>
              <w:t>分）</w:t>
            </w:r>
          </w:p>
        </w:tc>
        <w:tc>
          <w:tcPr>
            <w:tcW w:w="6094" w:type="dxa"/>
            <w:vAlign w:val="center"/>
          </w:tcPr>
          <w:p w14:paraId="1507E3AB">
            <w:pPr>
              <w:rPr>
                <w:lang w:eastAsia="zh-CN"/>
              </w:rPr>
            </w:pPr>
            <w:r>
              <w:rPr>
                <w:rFonts w:hint="eastAsia"/>
                <w:lang w:eastAsia="zh-CN"/>
              </w:rPr>
              <w:t>投标人近</w:t>
            </w:r>
            <w:r>
              <w:rPr>
                <w:rFonts w:hint="eastAsia" w:eastAsiaTheme="minorEastAsia"/>
                <w:lang w:eastAsia="zh-CN"/>
              </w:rPr>
              <w:t>3</w:t>
            </w:r>
            <w:r>
              <w:rPr>
                <w:rFonts w:hint="eastAsia"/>
                <w:lang w:eastAsia="zh-CN"/>
              </w:rPr>
              <w:t>年内承接完成编制或审核的工程项目，造价金额在</w:t>
            </w:r>
            <w:r>
              <w:rPr>
                <w:rFonts w:hint="eastAsia" w:eastAsiaTheme="minorEastAsia"/>
                <w:lang w:eastAsia="zh-CN"/>
              </w:rPr>
              <w:t>2000</w:t>
            </w:r>
            <w:r>
              <w:rPr>
                <w:rFonts w:hint="eastAsia"/>
                <w:lang w:eastAsia="zh-CN"/>
              </w:rPr>
              <w:t>万元（含）以上的项目</w:t>
            </w:r>
            <w:r>
              <w:rPr>
                <w:rFonts w:hint="eastAsia" w:ascii="宋体" w:hAnsi="宋体" w:eastAsia="宋体" w:cs="宋体"/>
                <w:lang w:eastAsia="zh-CN"/>
              </w:rPr>
              <w:t>或</w:t>
            </w:r>
            <w:r>
              <w:rPr>
                <w:rFonts w:hint="eastAsia"/>
                <w:lang w:eastAsia="zh-CN"/>
              </w:rPr>
              <w:t>有全过程造价咨询业绩的每个得</w:t>
            </w:r>
            <w:r>
              <w:rPr>
                <w:rFonts w:hint="eastAsia" w:eastAsiaTheme="minorEastAsia"/>
                <w:lang w:eastAsia="zh-CN"/>
              </w:rPr>
              <w:t>5</w:t>
            </w:r>
            <w:r>
              <w:rPr>
                <w:rFonts w:hint="eastAsia"/>
                <w:lang w:eastAsia="zh-CN"/>
              </w:rPr>
              <w:t>分；</w:t>
            </w:r>
          </w:p>
          <w:p w14:paraId="5DE781B2">
            <w:pPr>
              <w:rPr>
                <w:rFonts w:hint="eastAsia" w:ascii="华文仿宋" w:hAnsi="华文仿宋" w:eastAsia="华文仿宋"/>
                <w:lang w:eastAsia="zh-CN"/>
              </w:rPr>
            </w:pPr>
            <w:r>
              <w:rPr>
                <w:rFonts w:hint="eastAsia" w:ascii="华文仿宋" w:hAnsi="华文仿宋" w:eastAsia="华文仿宋"/>
                <w:lang w:eastAsia="zh-CN"/>
              </w:rPr>
              <w:t>此项最多得分20分（须提供中标通知书或合同协议书等相关证明文件）。</w:t>
            </w:r>
          </w:p>
        </w:tc>
      </w:tr>
      <w:tr w14:paraId="1EFE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trPr>
        <w:tc>
          <w:tcPr>
            <w:tcW w:w="539" w:type="dxa"/>
            <w:vAlign w:val="center"/>
          </w:tcPr>
          <w:p w14:paraId="3ED92A10">
            <w:pPr>
              <w:rPr>
                <w:rFonts w:eastAsiaTheme="minorEastAsia"/>
                <w:lang w:eastAsia="zh-CN"/>
              </w:rPr>
            </w:pPr>
            <w:r>
              <w:rPr>
                <w:rFonts w:hint="eastAsia" w:eastAsiaTheme="minorEastAsia"/>
                <w:lang w:eastAsia="zh-CN"/>
              </w:rPr>
              <w:t>3.</w:t>
            </w:r>
          </w:p>
        </w:tc>
        <w:tc>
          <w:tcPr>
            <w:tcW w:w="708" w:type="dxa"/>
            <w:vAlign w:val="center"/>
          </w:tcPr>
          <w:p w14:paraId="2C2F8AA5">
            <w:r>
              <w:t>价格评价评分标准</w:t>
            </w:r>
          </w:p>
        </w:tc>
        <w:tc>
          <w:tcPr>
            <w:tcW w:w="1560" w:type="dxa"/>
            <w:vAlign w:val="center"/>
          </w:tcPr>
          <w:p w14:paraId="36E6A5D2">
            <w:pPr>
              <w:rPr>
                <w:lang w:eastAsia="zh-CN"/>
              </w:rPr>
            </w:pPr>
            <w:r>
              <w:rPr>
                <w:rFonts w:hint="eastAsia"/>
                <w:lang w:eastAsia="zh-CN"/>
              </w:rPr>
              <w:t>工程造价过程</w:t>
            </w:r>
            <w:r>
              <w:rPr>
                <w:lang w:eastAsia="zh-CN"/>
              </w:rPr>
              <w:t>控制与跟踪审核咨询服务费率报价分（</w:t>
            </w:r>
            <w:r>
              <w:rPr>
                <w:rFonts w:hint="eastAsia" w:eastAsiaTheme="minorEastAsia"/>
                <w:lang w:eastAsia="zh-CN"/>
              </w:rPr>
              <w:t>5</w:t>
            </w:r>
            <w:r>
              <w:rPr>
                <w:lang w:eastAsia="zh-CN"/>
              </w:rPr>
              <w:t>0分）</w:t>
            </w:r>
          </w:p>
        </w:tc>
        <w:tc>
          <w:tcPr>
            <w:tcW w:w="6094" w:type="dxa"/>
            <w:vAlign w:val="center"/>
          </w:tcPr>
          <w:p w14:paraId="497446E0">
            <w:pPr>
              <w:rPr>
                <w:lang w:eastAsia="zh-CN"/>
              </w:rPr>
            </w:pPr>
            <w:r>
              <w:rPr>
                <w:lang w:eastAsia="zh-CN"/>
              </w:rPr>
              <w:t>基准价：以所有的有效</w:t>
            </w:r>
            <w:r>
              <w:rPr>
                <w:rFonts w:hint="eastAsia"/>
                <w:lang w:val="en-US" w:eastAsia="zh-CN"/>
              </w:rPr>
              <w:t>供应商</w:t>
            </w:r>
            <w:r>
              <w:rPr>
                <w:rFonts w:hint="eastAsia"/>
                <w:lang w:eastAsia="zh-CN"/>
              </w:rPr>
              <w:t>合理最低价</w:t>
            </w:r>
            <w:r>
              <w:rPr>
                <w:lang w:eastAsia="zh-CN"/>
              </w:rPr>
              <w:t>为</w:t>
            </w:r>
            <w:r>
              <w:rPr>
                <w:rFonts w:hint="eastAsia"/>
                <w:lang w:val="en-US" w:eastAsia="zh-CN"/>
              </w:rPr>
              <w:t>评分</w:t>
            </w:r>
            <w:r>
              <w:rPr>
                <w:lang w:eastAsia="zh-CN"/>
              </w:rPr>
              <w:t>基准价。</w:t>
            </w:r>
          </w:p>
          <w:p w14:paraId="0CCFD433">
            <w:pPr>
              <w:rPr>
                <w:lang w:eastAsia="zh-CN"/>
              </w:rPr>
            </w:pPr>
            <w:r>
              <w:rPr>
                <w:lang w:eastAsia="zh-CN"/>
              </w:rPr>
              <w:t>当报价=</w:t>
            </w:r>
            <w:r>
              <w:rPr>
                <w:rFonts w:hint="eastAsia"/>
                <w:lang w:val="en-US" w:eastAsia="zh-CN"/>
              </w:rPr>
              <w:t>评分</w:t>
            </w:r>
            <w:r>
              <w:rPr>
                <w:lang w:eastAsia="zh-CN"/>
              </w:rPr>
              <w:t>基准价时，得</w:t>
            </w:r>
            <w:r>
              <w:rPr>
                <w:rFonts w:hint="eastAsia" w:eastAsiaTheme="minorEastAsia"/>
                <w:lang w:eastAsia="zh-CN"/>
              </w:rPr>
              <w:t>5</w:t>
            </w:r>
            <w:r>
              <w:rPr>
                <w:lang w:eastAsia="zh-CN"/>
              </w:rPr>
              <w:t>0分；</w:t>
            </w:r>
          </w:p>
          <w:p w14:paraId="0E39EC5B">
            <w:pPr>
              <w:rPr>
                <w:rFonts w:eastAsiaTheme="minorEastAsia"/>
                <w:lang w:eastAsia="zh-CN"/>
              </w:rPr>
            </w:pPr>
            <w:r>
              <w:rPr>
                <w:rFonts w:hint="eastAsia"/>
                <w:lang w:eastAsia="zh-CN"/>
              </w:rPr>
              <w:t>价格得分=</w:t>
            </w:r>
            <w:r>
              <w:rPr>
                <w:rFonts w:hint="eastAsia"/>
                <w:lang w:val="en-US" w:eastAsia="zh-CN"/>
              </w:rPr>
              <w:t>评分</w:t>
            </w:r>
            <w:r>
              <w:rPr>
                <w:rFonts w:hint="eastAsia"/>
                <w:lang w:eastAsia="zh-CN"/>
              </w:rPr>
              <w:t>基准价/</w:t>
            </w:r>
            <w:r>
              <w:rPr>
                <w:rFonts w:hint="eastAsia"/>
                <w:lang w:val="en-US" w:eastAsia="zh-CN"/>
              </w:rPr>
              <w:t>供应商</w:t>
            </w:r>
            <w:r>
              <w:rPr>
                <w:rFonts w:hint="eastAsia"/>
                <w:lang w:eastAsia="zh-CN"/>
              </w:rPr>
              <w:t>报价×</w:t>
            </w:r>
            <w:r>
              <w:rPr>
                <w:rFonts w:hint="eastAsia" w:eastAsiaTheme="minorEastAsia"/>
                <w:lang w:eastAsia="zh-CN"/>
              </w:rPr>
              <w:t>5</w:t>
            </w:r>
            <w:r>
              <w:rPr>
                <w:lang w:eastAsia="zh-CN"/>
              </w:rPr>
              <w:t>0</w:t>
            </w:r>
            <w:r>
              <w:rPr>
                <w:rFonts w:hint="eastAsia"/>
                <w:lang w:eastAsia="zh-CN"/>
              </w:rPr>
              <w:t>；</w:t>
            </w:r>
          </w:p>
          <w:p w14:paraId="1C0C4D52">
            <w:pPr>
              <w:pStyle w:val="2"/>
              <w:ind w:firstLine="0" w:firstLineChars="0"/>
              <w:rPr>
                <w:rFonts w:hint="eastAsia" w:eastAsiaTheme="minorEastAsia"/>
                <w:lang w:eastAsia="zh-CN"/>
              </w:rPr>
            </w:pPr>
          </w:p>
        </w:tc>
      </w:tr>
      <w:tr w14:paraId="43C0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539" w:type="dxa"/>
            <w:vAlign w:val="center"/>
          </w:tcPr>
          <w:p w14:paraId="374B7417">
            <w:pPr>
              <w:rPr>
                <w:lang w:eastAsia="zh-CN"/>
              </w:rPr>
            </w:pPr>
          </w:p>
        </w:tc>
        <w:tc>
          <w:tcPr>
            <w:tcW w:w="708" w:type="dxa"/>
            <w:vAlign w:val="center"/>
          </w:tcPr>
          <w:p w14:paraId="64B167E0">
            <w:r>
              <w:t>综合评价得分</w:t>
            </w:r>
          </w:p>
        </w:tc>
        <w:tc>
          <w:tcPr>
            <w:tcW w:w="7654" w:type="dxa"/>
            <w:gridSpan w:val="2"/>
            <w:vAlign w:val="center"/>
          </w:tcPr>
          <w:p w14:paraId="04EAEE32">
            <w:pPr>
              <w:rPr>
                <w:b/>
                <w:lang w:eastAsia="zh-CN"/>
              </w:rPr>
            </w:pPr>
            <w:r>
              <w:rPr>
                <w:b/>
                <w:lang w:eastAsia="zh-CN"/>
              </w:rPr>
              <w:t>综合评</w:t>
            </w:r>
            <w:r>
              <w:rPr>
                <w:rFonts w:hint="eastAsia" w:ascii="宋体" w:hAnsi="宋体" w:eastAsia="宋体" w:cs="宋体"/>
                <w:b/>
                <w:lang w:eastAsia="zh-CN"/>
              </w:rPr>
              <w:t>审</w:t>
            </w:r>
            <w:r>
              <w:rPr>
                <w:b/>
                <w:lang w:eastAsia="zh-CN"/>
              </w:rPr>
              <w:t>得分=技术评</w:t>
            </w:r>
            <w:r>
              <w:rPr>
                <w:rFonts w:hint="eastAsia" w:ascii="宋体" w:hAnsi="宋体" w:eastAsia="宋体" w:cs="宋体"/>
                <w:b/>
                <w:lang w:eastAsia="zh-CN"/>
              </w:rPr>
              <w:t>审</w:t>
            </w:r>
            <w:r>
              <w:rPr>
                <w:b/>
                <w:lang w:eastAsia="zh-CN"/>
              </w:rPr>
              <w:t>得分+商务评</w:t>
            </w:r>
            <w:r>
              <w:rPr>
                <w:rFonts w:hint="eastAsia" w:ascii="宋体" w:hAnsi="宋体" w:eastAsia="宋体" w:cs="宋体"/>
                <w:b/>
                <w:lang w:eastAsia="zh-CN"/>
              </w:rPr>
              <w:t>审</w:t>
            </w:r>
            <w:r>
              <w:rPr>
                <w:b/>
                <w:lang w:eastAsia="zh-CN"/>
              </w:rPr>
              <w:t>得分+价格评</w:t>
            </w:r>
            <w:r>
              <w:rPr>
                <w:rFonts w:hint="eastAsia" w:ascii="宋体" w:hAnsi="宋体" w:eastAsia="宋体" w:cs="宋体"/>
                <w:b/>
                <w:lang w:eastAsia="zh-CN"/>
              </w:rPr>
              <w:t>审</w:t>
            </w:r>
            <w:r>
              <w:rPr>
                <w:b/>
                <w:lang w:eastAsia="zh-CN"/>
              </w:rPr>
              <w:t>得分</w:t>
            </w:r>
          </w:p>
        </w:tc>
      </w:tr>
    </w:tbl>
    <w:p w14:paraId="39BED794">
      <w:pPr>
        <w:spacing w:before="182" w:line="218" w:lineRule="auto"/>
        <w:rPr>
          <w:rFonts w:hint="eastAsia" w:ascii="宋体" w:hAnsi="宋体" w:eastAsia="宋体" w:cs="宋体"/>
          <w:spacing w:val="-1"/>
          <w:sz w:val="24"/>
          <w:szCs w:val="24"/>
          <w:lang w:eastAsia="zh-CN"/>
        </w:rPr>
      </w:pPr>
    </w:p>
    <w:p w14:paraId="696114E4">
      <w:pPr>
        <w:spacing w:line="218" w:lineRule="auto"/>
        <w:rPr>
          <w:rFonts w:hint="eastAsia" w:ascii="宋体" w:hAnsi="宋体" w:eastAsia="宋体" w:cs="宋体"/>
          <w:sz w:val="24"/>
          <w:szCs w:val="24"/>
          <w:lang w:eastAsia="zh-CN"/>
        </w:rPr>
        <w:sectPr>
          <w:footerReference r:id="rId10" w:type="default"/>
          <w:pgSz w:w="11906" w:h="16839"/>
          <w:pgMar w:top="1431" w:right="1785" w:bottom="1156" w:left="1654" w:header="0" w:footer="994" w:gutter="0"/>
          <w:cols w:space="720" w:num="1"/>
        </w:sectPr>
      </w:pPr>
    </w:p>
    <w:p w14:paraId="4C6B5DA6">
      <w:pPr>
        <w:pStyle w:val="28"/>
        <w:widowControl/>
        <w:spacing w:beforeLines="0" w:line="300" w:lineRule="auto"/>
        <w:jc w:val="both"/>
        <w:rPr>
          <w:kern w:val="0"/>
          <w:szCs w:val="21"/>
          <w:lang w:eastAsia="zh-CN"/>
        </w:rPr>
      </w:pPr>
      <w:r>
        <w:rPr>
          <w:kern w:val="0"/>
          <w:szCs w:val="21"/>
          <w:lang w:eastAsia="zh-CN"/>
        </w:rPr>
        <w:t>第四章 合同主要条款</w:t>
      </w:r>
    </w:p>
    <w:p w14:paraId="241991B7">
      <w:pPr>
        <w:widowControl w:val="0"/>
        <w:kinsoku/>
        <w:wordWrap w:val="0"/>
        <w:autoSpaceDE/>
        <w:autoSpaceDN/>
        <w:adjustRightInd/>
        <w:snapToGrid/>
        <w:spacing w:line="560" w:lineRule="exact"/>
        <w:ind w:right="964" w:firstLine="2650" w:firstLineChars="1100"/>
        <w:jc w:val="both"/>
        <w:textAlignment w:val="auto"/>
        <w:rPr>
          <w:rFonts w:ascii="Times New Roman" w:hAnsi="Times New Roman" w:eastAsia="宋体" w:cs="Times New Roman"/>
          <w:b/>
          <w:bCs/>
          <w:snapToGrid/>
          <w:color w:val="auto"/>
          <w:kern w:val="2"/>
          <w:sz w:val="24"/>
          <w:szCs w:val="24"/>
          <w:u w:val="single"/>
          <w:lang w:eastAsia="zh-CN"/>
        </w:rPr>
      </w:pPr>
      <w:r>
        <w:rPr>
          <w:rFonts w:ascii="Times New Roman" w:hAnsi="Times New Roman" w:eastAsia="宋体" w:cs="Times New Roman"/>
          <w:b/>
          <w:bCs/>
          <w:snapToGrid/>
          <w:color w:val="auto"/>
          <w:kern w:val="2"/>
          <w:sz w:val="24"/>
          <w:szCs w:val="24"/>
          <w:lang w:eastAsia="zh-CN"/>
        </w:rPr>
        <w:t>合同编号：</w:t>
      </w:r>
    </w:p>
    <w:p w14:paraId="03F7D773">
      <w:pPr>
        <w:widowControl w:val="0"/>
        <w:kinsoku/>
        <w:autoSpaceDE/>
        <w:autoSpaceDN/>
        <w:adjustRightInd/>
        <w:snapToGrid/>
        <w:spacing w:line="560" w:lineRule="exact"/>
        <w:jc w:val="both"/>
        <w:textAlignment w:val="auto"/>
        <w:rPr>
          <w:rFonts w:ascii="Times New Roman" w:hAnsi="Times New Roman" w:eastAsia="宋体" w:cs="Times New Roman"/>
          <w:snapToGrid/>
          <w:color w:val="auto"/>
          <w:kern w:val="2"/>
          <w:sz w:val="36"/>
          <w:szCs w:val="22"/>
          <w:lang w:eastAsia="zh-CN"/>
        </w:rPr>
      </w:pPr>
    </w:p>
    <w:p w14:paraId="56111292">
      <w:pPr>
        <w:widowControl w:val="0"/>
        <w:kinsoku/>
        <w:autoSpaceDE/>
        <w:autoSpaceDN/>
        <w:adjustRightInd/>
        <w:snapToGrid/>
        <w:spacing w:line="560" w:lineRule="exact"/>
        <w:jc w:val="both"/>
        <w:textAlignment w:val="auto"/>
        <w:rPr>
          <w:rFonts w:ascii="Times New Roman" w:hAnsi="Times New Roman" w:eastAsia="宋体" w:cs="Times New Roman"/>
          <w:snapToGrid/>
          <w:color w:val="auto"/>
          <w:kern w:val="2"/>
          <w:sz w:val="36"/>
          <w:szCs w:val="22"/>
          <w:lang w:eastAsia="zh-CN"/>
        </w:rPr>
      </w:pPr>
    </w:p>
    <w:p w14:paraId="680242EE">
      <w:pPr>
        <w:kinsoku/>
        <w:autoSpaceDE/>
        <w:autoSpaceDN/>
        <w:adjustRightInd/>
        <w:snapToGrid/>
        <w:ind w:firstLine="1325" w:firstLineChars="300"/>
        <w:textAlignment w:val="auto"/>
        <w:rPr>
          <w:rFonts w:hint="eastAsia" w:ascii="黑体" w:hAnsi="黑体" w:eastAsia="黑体" w:cs="宋体"/>
          <w:b/>
          <w:snapToGrid/>
          <w:color w:val="auto"/>
          <w:sz w:val="44"/>
          <w:szCs w:val="44"/>
          <w:lang w:eastAsia="zh-CN"/>
        </w:rPr>
      </w:pPr>
      <w:r>
        <w:rPr>
          <w:rFonts w:ascii="黑体" w:hAnsi="黑体" w:eastAsia="黑体" w:cs="宋体"/>
          <w:b/>
          <w:snapToGrid/>
          <w:color w:val="auto"/>
          <w:sz w:val="44"/>
          <w:szCs w:val="44"/>
          <w:lang w:eastAsia="zh-CN"/>
        </w:rPr>
        <w:t>山东济钢环保新材料有限公司</w:t>
      </w:r>
    </w:p>
    <w:p w14:paraId="39CE80C6">
      <w:pPr>
        <w:widowControl w:val="0"/>
        <w:kinsoku/>
        <w:autoSpaceDE/>
        <w:autoSpaceDN/>
        <w:adjustRightInd/>
        <w:snapToGrid/>
        <w:spacing w:after="120"/>
        <w:ind w:firstLine="210" w:firstLineChars="100"/>
        <w:jc w:val="both"/>
        <w:textAlignment w:val="auto"/>
        <w:rPr>
          <w:rFonts w:ascii="Calibri" w:hAnsi="Calibri" w:eastAsia="宋体" w:cs="Times New Roman"/>
          <w:snapToGrid/>
          <w:color w:val="auto"/>
          <w:kern w:val="2"/>
          <w:szCs w:val="20"/>
          <w:lang w:eastAsia="zh-CN"/>
        </w:rPr>
      </w:pPr>
    </w:p>
    <w:p w14:paraId="422EFD60">
      <w:pPr>
        <w:kinsoku/>
        <w:autoSpaceDE/>
        <w:autoSpaceDN/>
        <w:adjustRightInd/>
        <w:snapToGrid/>
        <w:ind w:firstLine="1555" w:firstLineChars="352"/>
        <w:textAlignment w:val="auto"/>
        <w:rPr>
          <w:rFonts w:hint="eastAsia" w:ascii="黑体" w:hAnsi="黑体" w:eastAsia="黑体" w:cs="宋体"/>
          <w:b/>
          <w:snapToGrid/>
          <w:color w:val="auto"/>
          <w:sz w:val="44"/>
          <w:szCs w:val="44"/>
          <w:lang w:eastAsia="zh-CN"/>
        </w:rPr>
      </w:pPr>
      <w:bookmarkStart w:id="183" w:name="_Toc492482541"/>
      <w:bookmarkStart w:id="184" w:name="_Toc493757498"/>
      <w:bookmarkStart w:id="185" w:name="_Toc492631875"/>
      <w:bookmarkStart w:id="186" w:name="_Toc492482568"/>
      <w:bookmarkStart w:id="187" w:name="_Toc29056521"/>
      <w:r>
        <w:rPr>
          <w:rFonts w:hint="eastAsia" w:ascii="黑体" w:hAnsi="黑体" w:eastAsia="黑体" w:cs="宋体"/>
          <w:b/>
          <w:snapToGrid/>
          <w:color w:val="auto"/>
          <w:sz w:val="44"/>
          <w:szCs w:val="44"/>
          <w:lang w:eastAsia="zh-CN"/>
        </w:rPr>
        <w:t>工程造价咨询</w:t>
      </w:r>
      <w:r>
        <w:rPr>
          <w:rFonts w:ascii="黑体" w:hAnsi="黑体" w:eastAsia="黑体" w:cs="宋体"/>
          <w:b/>
          <w:snapToGrid/>
          <w:color w:val="auto"/>
          <w:sz w:val="44"/>
          <w:szCs w:val="44"/>
          <w:lang w:eastAsia="zh-CN"/>
        </w:rPr>
        <w:t>服务合同</w:t>
      </w:r>
      <w:bookmarkEnd w:id="183"/>
      <w:bookmarkEnd w:id="184"/>
      <w:bookmarkEnd w:id="185"/>
      <w:bookmarkEnd w:id="186"/>
      <w:bookmarkEnd w:id="187"/>
    </w:p>
    <w:p w14:paraId="1FBB36BA">
      <w:pPr>
        <w:widowControl w:val="0"/>
        <w:kinsoku/>
        <w:autoSpaceDE/>
        <w:autoSpaceDN/>
        <w:adjustRightInd/>
        <w:snapToGrid/>
        <w:jc w:val="both"/>
        <w:textAlignment w:val="auto"/>
        <w:rPr>
          <w:rFonts w:ascii="Calibri" w:hAnsi="Calibri" w:eastAsia="宋体" w:cs="Times New Roman"/>
          <w:snapToGrid/>
          <w:color w:val="auto"/>
          <w:kern w:val="2"/>
          <w:szCs w:val="20"/>
          <w:lang w:eastAsia="zh-CN"/>
        </w:rPr>
      </w:pPr>
    </w:p>
    <w:p w14:paraId="6C2F31CB">
      <w:pPr>
        <w:widowControl w:val="0"/>
        <w:kinsoku/>
        <w:autoSpaceDE/>
        <w:autoSpaceDN/>
        <w:adjustRightInd/>
        <w:snapToGrid/>
        <w:spacing w:line="900" w:lineRule="exact"/>
        <w:jc w:val="center"/>
        <w:textAlignment w:val="auto"/>
        <w:rPr>
          <w:rFonts w:ascii="Times New Roman" w:hAnsi="Times New Roman" w:eastAsia="方正小标宋简体" w:cs="Times New Roman"/>
          <w:snapToGrid/>
          <w:color w:val="auto"/>
          <w:kern w:val="2"/>
          <w:sz w:val="72"/>
          <w:szCs w:val="22"/>
          <w:lang w:eastAsia="zh-CN"/>
        </w:rPr>
      </w:pPr>
    </w:p>
    <w:p w14:paraId="699629BC">
      <w:pPr>
        <w:widowControl w:val="0"/>
        <w:kinsoku/>
        <w:autoSpaceDE/>
        <w:autoSpaceDN/>
        <w:adjustRightInd/>
        <w:snapToGrid/>
        <w:spacing w:line="900" w:lineRule="exact"/>
        <w:jc w:val="center"/>
        <w:textAlignment w:val="auto"/>
        <w:rPr>
          <w:rFonts w:ascii="Times New Roman" w:hAnsi="Times New Roman" w:eastAsia="方正小标宋简体" w:cs="Times New Roman"/>
          <w:snapToGrid/>
          <w:color w:val="auto"/>
          <w:kern w:val="2"/>
          <w:sz w:val="72"/>
          <w:szCs w:val="22"/>
          <w:lang w:eastAsia="zh-CN"/>
        </w:rPr>
      </w:pPr>
    </w:p>
    <w:p w14:paraId="40CC0E34">
      <w:pPr>
        <w:widowControl w:val="0"/>
        <w:kinsoku/>
        <w:autoSpaceDE/>
        <w:autoSpaceDN/>
        <w:adjustRightInd/>
        <w:snapToGrid/>
        <w:jc w:val="both"/>
        <w:textAlignment w:val="auto"/>
        <w:rPr>
          <w:rFonts w:ascii="Calibri" w:hAnsi="Calibri" w:eastAsia="宋体" w:cs="Times New Roman"/>
          <w:snapToGrid/>
          <w:color w:val="auto"/>
          <w:kern w:val="2"/>
          <w:szCs w:val="20"/>
          <w:lang w:eastAsia="zh-CN"/>
        </w:rPr>
      </w:pPr>
    </w:p>
    <w:p w14:paraId="6F49B2DC">
      <w:pPr>
        <w:widowControl w:val="0"/>
        <w:kinsoku/>
        <w:autoSpaceDE/>
        <w:autoSpaceDN/>
        <w:adjustRightInd/>
        <w:snapToGrid/>
        <w:spacing w:line="900" w:lineRule="exact"/>
        <w:jc w:val="center"/>
        <w:textAlignment w:val="auto"/>
        <w:rPr>
          <w:rFonts w:ascii="Times New Roman" w:hAnsi="Times New Roman" w:eastAsia="方正小标宋简体" w:cs="Times New Roman"/>
          <w:snapToGrid/>
          <w:color w:val="auto"/>
          <w:kern w:val="2"/>
          <w:sz w:val="72"/>
          <w:szCs w:val="22"/>
          <w:lang w:eastAsia="zh-CN"/>
        </w:rPr>
      </w:pPr>
    </w:p>
    <w:p w14:paraId="795F972E">
      <w:pPr>
        <w:widowControl w:val="0"/>
        <w:kinsoku/>
        <w:autoSpaceDE/>
        <w:autoSpaceDN/>
        <w:adjustRightInd/>
        <w:snapToGrid/>
        <w:spacing w:line="900" w:lineRule="exact"/>
        <w:jc w:val="both"/>
        <w:textAlignment w:val="auto"/>
        <w:rPr>
          <w:rFonts w:ascii="Times New Roman" w:hAnsi="Times New Roman" w:eastAsia="方正小标宋简体" w:cs="Times New Roman"/>
          <w:snapToGrid/>
          <w:color w:val="auto"/>
          <w:kern w:val="2"/>
          <w:sz w:val="72"/>
          <w:szCs w:val="22"/>
          <w:lang w:eastAsia="zh-CN"/>
        </w:rPr>
      </w:pPr>
    </w:p>
    <w:p w14:paraId="6337CA40">
      <w:pPr>
        <w:widowControl w:val="0"/>
        <w:kinsoku/>
        <w:autoSpaceDE/>
        <w:autoSpaceDN/>
        <w:adjustRightInd/>
        <w:snapToGrid/>
        <w:spacing w:line="560" w:lineRule="exact"/>
        <w:jc w:val="both"/>
        <w:textAlignment w:val="auto"/>
        <w:rPr>
          <w:rFonts w:ascii="Times New Roman" w:hAnsi="Times New Roman" w:eastAsia="方正仿宋简体" w:cs="Times New Roman"/>
          <w:snapToGrid/>
          <w:color w:val="auto"/>
          <w:kern w:val="2"/>
          <w:szCs w:val="22"/>
          <w:lang w:eastAsia="zh-CN"/>
        </w:rPr>
      </w:pPr>
      <w:r>
        <w:rPr>
          <w:rFonts w:ascii="Times New Roman" w:hAnsi="Times New Roman" w:eastAsia="方正仿宋简体" w:cs="Times New Roman"/>
          <w:snapToGrid/>
          <w:color w:val="auto"/>
          <w:kern w:val="2"/>
          <w:szCs w:val="22"/>
          <w:lang w:eastAsia="zh-CN"/>
        </w:rPr>
        <w:t xml:space="preserve">    </w:t>
      </w:r>
    </w:p>
    <w:p w14:paraId="6E56F3E8">
      <w:pPr>
        <w:widowControl w:val="0"/>
        <w:kinsoku/>
        <w:autoSpaceDE/>
        <w:autoSpaceDN/>
        <w:adjustRightInd/>
        <w:snapToGrid/>
        <w:spacing w:line="560" w:lineRule="exact"/>
        <w:ind w:firstLine="420"/>
        <w:jc w:val="both"/>
        <w:textAlignment w:val="auto"/>
        <w:rPr>
          <w:rFonts w:ascii="Times New Roman" w:hAnsi="Times New Roman" w:eastAsia="方正仿宋简体" w:cs="Times New Roman"/>
          <w:snapToGrid/>
          <w:color w:val="auto"/>
          <w:kern w:val="2"/>
          <w:szCs w:val="22"/>
          <w:lang w:eastAsia="zh-CN"/>
        </w:rPr>
      </w:pPr>
      <w:r>
        <w:rPr>
          <w:rFonts w:ascii="Times New Roman" w:hAnsi="Times New Roman" w:eastAsia="方正仿宋简体" w:cs="Times New Roman"/>
          <w:snapToGrid/>
          <w:color w:val="auto"/>
          <w:kern w:val="2"/>
          <w:szCs w:val="22"/>
          <w:lang w:eastAsia="zh-CN"/>
        </w:rPr>
        <w:t xml:space="preserve">     </w:t>
      </w:r>
    </w:p>
    <w:p w14:paraId="18D7F263">
      <w:pPr>
        <w:widowControl w:val="0"/>
        <w:kinsoku/>
        <w:autoSpaceDE/>
        <w:autoSpaceDN/>
        <w:adjustRightInd/>
        <w:snapToGrid/>
        <w:spacing w:line="560" w:lineRule="exact"/>
        <w:ind w:firstLine="420"/>
        <w:jc w:val="both"/>
        <w:textAlignment w:val="auto"/>
        <w:rPr>
          <w:rFonts w:ascii="Times New Roman" w:hAnsi="Times New Roman" w:eastAsia="方正仿宋简体" w:cs="Times New Roman"/>
          <w:snapToGrid/>
          <w:color w:val="auto"/>
          <w:kern w:val="2"/>
          <w:szCs w:val="22"/>
          <w:lang w:eastAsia="zh-CN"/>
        </w:rPr>
      </w:pPr>
    </w:p>
    <w:p w14:paraId="2F7A710B">
      <w:pPr>
        <w:widowControl w:val="0"/>
        <w:kinsoku/>
        <w:autoSpaceDE/>
        <w:autoSpaceDN/>
        <w:adjustRightInd/>
        <w:snapToGrid/>
        <w:spacing w:line="560" w:lineRule="exact"/>
        <w:ind w:firstLine="420"/>
        <w:jc w:val="both"/>
        <w:textAlignment w:val="auto"/>
        <w:rPr>
          <w:rFonts w:ascii="Times New Roman" w:hAnsi="Times New Roman" w:eastAsia="方正仿宋简体" w:cs="Times New Roman"/>
          <w:snapToGrid/>
          <w:color w:val="auto"/>
          <w:kern w:val="2"/>
          <w:szCs w:val="22"/>
          <w:lang w:eastAsia="zh-CN"/>
        </w:rPr>
      </w:pPr>
    </w:p>
    <w:p w14:paraId="074F8BDD">
      <w:pPr>
        <w:kinsoku/>
        <w:autoSpaceDE/>
        <w:autoSpaceDN/>
        <w:adjustRightInd/>
        <w:snapToGrid/>
        <w:spacing w:line="360" w:lineRule="auto"/>
        <w:ind w:left="420" w:leftChars="200"/>
        <w:textAlignment w:val="auto"/>
        <w:rPr>
          <w:rFonts w:hint="eastAsia" w:ascii="宋体" w:hAnsi="宋体" w:eastAsia="宋体" w:cs="Times New Roman"/>
          <w:snapToGrid/>
          <w:color w:val="auto"/>
          <w:sz w:val="28"/>
          <w:szCs w:val="28"/>
          <w:lang w:eastAsia="zh-CN"/>
        </w:rPr>
      </w:pPr>
      <w:r>
        <w:rPr>
          <w:rFonts w:ascii="宋体" w:hAnsi="宋体" w:eastAsia="宋体" w:cs="Times New Roman"/>
          <w:snapToGrid/>
          <w:color w:val="auto"/>
          <w:sz w:val="28"/>
          <w:szCs w:val="28"/>
          <w:lang w:eastAsia="zh-CN"/>
        </w:rPr>
        <w:t>委托人（全称）：</w:t>
      </w:r>
      <w:r>
        <w:rPr>
          <w:rFonts w:ascii="宋体" w:hAnsi="宋体" w:eastAsia="宋体" w:cs="Meiryo"/>
          <w:b/>
          <w:snapToGrid/>
          <w:color w:val="auto"/>
          <w:sz w:val="28"/>
          <w:szCs w:val="28"/>
          <w:u w:val="single"/>
          <w:lang w:eastAsia="zh-CN"/>
        </w:rPr>
        <w:t>山东济钢环保新材料有限公司</w:t>
      </w:r>
    </w:p>
    <w:p w14:paraId="11B56119">
      <w:pPr>
        <w:kinsoku/>
        <w:autoSpaceDE/>
        <w:autoSpaceDN/>
        <w:adjustRightInd/>
        <w:snapToGrid/>
        <w:spacing w:line="360" w:lineRule="auto"/>
        <w:ind w:left="420" w:leftChars="200"/>
        <w:textAlignment w:val="auto"/>
        <w:rPr>
          <w:rFonts w:hint="eastAsia" w:ascii="宋体" w:hAnsi="宋体" w:eastAsia="宋体" w:cs="Meiryo"/>
          <w:b/>
          <w:snapToGrid/>
          <w:color w:val="auto"/>
          <w:sz w:val="28"/>
          <w:szCs w:val="28"/>
          <w:u w:val="single"/>
          <w:lang w:eastAsia="zh-CN"/>
        </w:rPr>
      </w:pPr>
      <w:r>
        <w:rPr>
          <w:rFonts w:ascii="宋体" w:hAnsi="宋体" w:eastAsia="宋体" w:cs="Times New Roman"/>
          <w:snapToGrid/>
          <w:color w:val="auto"/>
          <w:sz w:val="28"/>
          <w:szCs w:val="28"/>
          <w:lang w:eastAsia="zh-CN"/>
        </w:rPr>
        <w:t>受托人（全称）：</w:t>
      </w:r>
    </w:p>
    <w:p w14:paraId="765ABE51">
      <w:pPr>
        <w:kinsoku/>
        <w:autoSpaceDE/>
        <w:autoSpaceDN/>
        <w:adjustRightInd/>
        <w:snapToGrid/>
        <w:spacing w:before="100" w:beforeAutospacing="1" w:after="100" w:afterAutospacing="1"/>
        <w:textAlignment w:val="auto"/>
        <w:rPr>
          <w:rFonts w:hint="eastAsia" w:ascii="宋体" w:hAnsi="宋体" w:eastAsia="宋体" w:cs="宋体"/>
          <w:b/>
          <w:bCs/>
          <w:smallCaps/>
          <w:snapToGrid/>
          <w:color w:val="auto"/>
          <w:sz w:val="20"/>
          <w:szCs w:val="20"/>
          <w:lang w:eastAsia="zh-CN"/>
        </w:rPr>
      </w:pPr>
    </w:p>
    <w:p w14:paraId="12441926">
      <w:pPr>
        <w:kinsoku/>
        <w:autoSpaceDE/>
        <w:autoSpaceDN/>
        <w:adjustRightInd/>
        <w:snapToGrid/>
        <w:spacing w:before="100" w:beforeAutospacing="1" w:after="100" w:afterAutospacing="1"/>
        <w:textAlignment w:val="auto"/>
        <w:rPr>
          <w:rFonts w:hint="eastAsia" w:ascii="宋体" w:hAnsi="宋体" w:eastAsia="宋体" w:cs="宋体"/>
          <w:b/>
          <w:bCs/>
          <w:smallCaps/>
          <w:snapToGrid/>
          <w:color w:val="auto"/>
          <w:sz w:val="32"/>
          <w:szCs w:val="32"/>
          <w:lang w:eastAsia="zh-CN"/>
        </w:rPr>
      </w:pPr>
      <w:r>
        <w:rPr>
          <w:rFonts w:ascii="宋体" w:hAnsi="宋体" w:eastAsia="宋体" w:cs="宋体"/>
          <w:b/>
          <w:bCs/>
          <w:smallCaps/>
          <w:snapToGrid/>
          <w:color w:val="auto"/>
          <w:sz w:val="32"/>
          <w:szCs w:val="32"/>
          <w:lang w:eastAsia="zh-CN"/>
        </w:rPr>
        <mc:AlternateContent>
          <mc:Choice Requires="wps">
            <w:drawing>
              <wp:anchor distT="0" distB="0" distL="114300" distR="114300" simplePos="0" relativeHeight="251659264" behindDoc="0" locked="0" layoutInCell="1" allowOverlap="1">
                <wp:simplePos x="0" y="0"/>
                <wp:positionH relativeFrom="column">
                  <wp:posOffset>3761105</wp:posOffset>
                </wp:positionH>
                <wp:positionV relativeFrom="paragraph">
                  <wp:posOffset>267970</wp:posOffset>
                </wp:positionV>
                <wp:extent cx="2239010" cy="254000"/>
                <wp:effectExtent l="8255" t="13970" r="10160" b="8255"/>
                <wp:wrapNone/>
                <wp:docPr id="386979879" name="文本框 1"/>
                <wp:cNvGraphicFramePr/>
                <a:graphic xmlns:a="http://schemas.openxmlformats.org/drawingml/2006/main">
                  <a:graphicData uri="http://schemas.microsoft.com/office/word/2010/wordprocessingShape">
                    <wps:wsp>
                      <wps:cNvSpPr txBox="1">
                        <a:spLocks noChangeArrowheads="1"/>
                      </wps:cNvSpPr>
                      <wps:spPr bwMode="auto">
                        <a:xfrm>
                          <a:off x="0" y="0"/>
                          <a:ext cx="2239010" cy="254000"/>
                        </a:xfrm>
                        <a:prstGeom prst="rect">
                          <a:avLst/>
                        </a:prstGeom>
                        <a:solidFill>
                          <a:srgbClr val="FFFFFF"/>
                        </a:solidFill>
                        <a:ln w="0">
                          <a:solidFill>
                            <a:srgbClr val="FFFFFF"/>
                          </a:solidFill>
                          <a:miter lim="800000"/>
                        </a:ln>
                      </wps:spPr>
                      <wps:txbx>
                        <w:txbxContent>
                          <w:p w14:paraId="11889466">
                            <w:pPr>
                              <w:rPr>
                                <w:szCs w:val="32"/>
                              </w:rPr>
                            </w:pPr>
                          </w:p>
                        </w:txbxContent>
                      </wps:txbx>
                      <wps:bodyPr rot="0" vert="horz" wrap="square" lIns="91440" tIns="45720" rIns="91440" bIns="45720" anchor="t" anchorCtr="0" upright="1">
                        <a:spAutoFit/>
                      </wps:bodyPr>
                    </wps:wsp>
                  </a:graphicData>
                </a:graphic>
              </wp:anchor>
            </w:drawing>
          </mc:Choice>
          <mc:Fallback>
            <w:pict>
              <v:shape id="文本框 1" o:spid="_x0000_s1026" o:spt="202" type="#_x0000_t202" style="position:absolute;left:0pt;margin-left:296.15pt;margin-top:21.1pt;height:20pt;width:176.3pt;z-index:251659264;mso-width-relative:page;mso-height-relative:page;" fillcolor="#FFFFFF" filled="t" stroked="t" coordsize="21600,21600" o:gfxdata="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H6qYo2AAAAAkBAAAPAAAAAAAAAAEAIAAAACIA&#10;AABkcnMvZG93bnJldi54bWxQSwECFAAUAAAACACHTuJA61lxdkICAACMBAAADgAAAAAAAAABACAA&#10;AAAnAQAAZHJzL2Uyb0RvYy54bWxQSwUGAAAAAAYABgBZAQAA2wUAAAAA&#10;">
                <v:fill on="t" focussize="0,0"/>
                <v:stroke weight="0pt" color="#FFFFFF" miterlimit="8" joinstyle="miter"/>
                <v:imagedata o:title=""/>
                <o:lock v:ext="edit" aspectratio="f"/>
                <v:textbox style="mso-fit-shape-to-text:t;">
                  <w:txbxContent>
                    <w:p w14:paraId="11889466">
                      <w:pPr>
                        <w:rPr>
                          <w:szCs w:val="32"/>
                        </w:rPr>
                      </w:pPr>
                    </w:p>
                  </w:txbxContent>
                </v:textbox>
              </v:shape>
            </w:pict>
          </mc:Fallback>
        </mc:AlternateContent>
      </w:r>
      <w:r>
        <w:rPr>
          <w:rFonts w:ascii="宋体" w:hAnsi="宋体" w:eastAsia="宋体" w:cs="宋体"/>
          <w:b/>
          <w:bCs/>
          <w:smallCaps/>
          <w:snapToGrid/>
          <w:color w:val="auto"/>
          <w:sz w:val="32"/>
          <w:szCs w:val="32"/>
          <w:lang w:eastAsia="zh-CN"/>
        </w:rPr>
        <w:t xml:space="preserve">             签订日期：</w:t>
      </w:r>
    </w:p>
    <w:p w14:paraId="598573AF">
      <w:pPr>
        <w:widowControl w:val="0"/>
        <w:kinsoku/>
        <w:autoSpaceDE/>
        <w:autoSpaceDN/>
        <w:adjustRightInd/>
        <w:snapToGrid/>
        <w:spacing w:line="560" w:lineRule="exact"/>
        <w:jc w:val="both"/>
        <w:textAlignment w:val="auto"/>
        <w:rPr>
          <w:rFonts w:ascii="Times New Roman" w:hAnsi="Times New Roman" w:eastAsia="方正仿宋简体" w:cs="Times New Roman"/>
          <w:snapToGrid/>
          <w:color w:val="auto"/>
          <w:kern w:val="2"/>
          <w:szCs w:val="22"/>
          <w:lang w:eastAsia="zh-CN"/>
        </w:rPr>
      </w:pPr>
    </w:p>
    <w:p w14:paraId="6FB3F935">
      <w:pPr>
        <w:widowControl w:val="0"/>
        <w:kinsoku/>
        <w:autoSpaceDE/>
        <w:autoSpaceDN/>
        <w:adjustRightInd/>
        <w:snapToGrid/>
        <w:jc w:val="both"/>
        <w:textAlignment w:val="auto"/>
        <w:rPr>
          <w:rFonts w:ascii="Calibri" w:hAnsi="Calibri" w:eastAsia="宋体" w:cs="Times New Roman"/>
          <w:snapToGrid/>
          <w:color w:val="auto"/>
          <w:kern w:val="2"/>
          <w:szCs w:val="20"/>
          <w:lang w:eastAsia="zh-CN"/>
        </w:rPr>
      </w:pPr>
    </w:p>
    <w:p w14:paraId="666C5106">
      <w:pPr>
        <w:widowControl w:val="0"/>
        <w:kinsoku/>
        <w:autoSpaceDE/>
        <w:autoSpaceDN/>
        <w:adjustRightInd/>
        <w:snapToGrid/>
        <w:spacing w:before="340" w:after="331"/>
        <w:jc w:val="center"/>
        <w:textAlignment w:val="auto"/>
        <w:outlineLvl w:val="0"/>
        <w:rPr>
          <w:rFonts w:hint="eastAsia" w:ascii="宋体" w:hAnsi="宋体" w:eastAsia="宋体" w:cs="Times New Roman"/>
          <w:b/>
          <w:snapToGrid/>
          <w:color w:val="auto"/>
          <w:lang w:eastAsia="zh-CN"/>
        </w:rPr>
      </w:pPr>
      <w:r>
        <w:rPr>
          <w:rFonts w:ascii="黑体" w:hAnsi="Times New Roman" w:eastAsia="黑体" w:cs="Times New Roman"/>
          <w:bCs/>
          <w:snapToGrid/>
          <w:color w:val="auto"/>
          <w:sz w:val="20"/>
          <w:lang w:eastAsia="zh-CN"/>
        </w:rPr>
        <w:br w:type="page"/>
      </w:r>
      <w:bookmarkStart w:id="188" w:name="_Toc32194"/>
      <w:r>
        <w:rPr>
          <w:rFonts w:ascii="宋体" w:hAnsi="宋体" w:eastAsia="宋体" w:cs="Times New Roman"/>
          <w:b/>
          <w:snapToGrid/>
          <w:color w:val="auto"/>
          <w:lang w:eastAsia="zh-CN"/>
        </w:rPr>
        <w:t>第一部分　协议书</w:t>
      </w:r>
      <w:bookmarkEnd w:id="188"/>
    </w:p>
    <w:p w14:paraId="646D4D3C">
      <w:pPr>
        <w:kinsoku/>
        <w:autoSpaceDE/>
        <w:autoSpaceDN/>
        <w:adjustRightInd/>
        <w:snapToGrid/>
        <w:spacing w:line="360" w:lineRule="auto"/>
        <w:ind w:firstLine="420" w:firstLineChars="200"/>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委托人（全称）：</w:t>
      </w:r>
      <w:r>
        <w:rPr>
          <w:rFonts w:ascii="Times New Roman" w:hAnsi="Times New Roman" w:eastAsia="宋体" w:cs="Times New Roman"/>
          <w:snapToGrid/>
          <w:color w:val="auto"/>
          <w:u w:val="single"/>
          <w:lang w:eastAsia="zh-CN"/>
        </w:rPr>
        <w:t xml:space="preserve"> 山东济钢环保新材料有限公司  </w:t>
      </w:r>
    </w:p>
    <w:p w14:paraId="5038F2E1">
      <w:pPr>
        <w:kinsoku/>
        <w:autoSpaceDE/>
        <w:autoSpaceDN/>
        <w:adjustRightInd/>
        <w:snapToGrid/>
        <w:spacing w:line="360" w:lineRule="auto"/>
        <w:ind w:firstLine="420" w:firstLineChars="200"/>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受托人（全称）：</w:t>
      </w:r>
      <w:r>
        <w:rPr>
          <w:rFonts w:ascii="Times New Roman" w:hAnsi="Times New Roman" w:eastAsia="宋体" w:cs="Times New Roman"/>
          <w:snapToGrid/>
          <w:color w:val="auto"/>
          <w:u w:val="single"/>
          <w:lang w:eastAsia="zh-CN"/>
        </w:rPr>
        <w:t xml:space="preserve">     </w:t>
      </w:r>
    </w:p>
    <w:p w14:paraId="33CA73C9">
      <w:pPr>
        <w:kinsoku/>
        <w:autoSpaceDE/>
        <w:autoSpaceDN/>
        <w:adjustRightInd/>
        <w:snapToGrid/>
        <w:spacing w:line="360" w:lineRule="auto"/>
        <w:ind w:left="420" w:leftChars="200"/>
        <w:contextualSpacing/>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根据《</w:t>
      </w:r>
      <w:r>
        <w:fldChar w:fldCharType="begin"/>
      </w:r>
      <w:r>
        <w:rPr>
          <w:lang w:eastAsia="zh-CN"/>
        </w:rPr>
        <w:instrText xml:space="preserve">HYPERLINK "javascript:SLC(21651,0)"</w:instrText>
      </w:r>
      <w:r>
        <w:fldChar w:fldCharType="separate"/>
      </w:r>
      <w:r>
        <w:rPr>
          <w:rFonts w:ascii="Times New Roman" w:hAnsi="宋体" w:eastAsia="宋体" w:cs="Times New Roman"/>
          <w:snapToGrid/>
          <w:color w:val="464445"/>
          <w:szCs w:val="20"/>
          <w:lang w:eastAsia="zh-CN"/>
        </w:rPr>
        <w:t>中华人民共和国民法典</w:t>
      </w:r>
      <w:r>
        <w:fldChar w:fldCharType="end"/>
      </w:r>
      <w:r>
        <w:rPr>
          <w:rFonts w:ascii="Calibri" w:hAnsi="宋体" w:eastAsia="宋体" w:cs="Times New Roman"/>
          <w:snapToGrid/>
          <w:color w:val="auto"/>
          <w:szCs w:val="20"/>
          <w:lang w:eastAsia="zh-CN"/>
        </w:rPr>
        <w:t>》及其他有关法律、法规，遵循平等、自愿、公平和诚实</w:t>
      </w:r>
    </w:p>
    <w:p w14:paraId="78C8BBE2">
      <w:pPr>
        <w:kinsoku/>
        <w:autoSpaceDE/>
        <w:autoSpaceDN/>
        <w:adjustRightInd/>
        <w:snapToGrid/>
        <w:spacing w:line="360" w:lineRule="auto"/>
        <w:contextualSpacing/>
        <w:textAlignment w:val="auto"/>
        <w:rPr>
          <w:rFonts w:ascii="Calibri" w:hAnsi="Calibri" w:eastAsia="宋体" w:cs="Times New Roman"/>
          <w:snapToGrid/>
          <w:color w:val="auto"/>
          <w:szCs w:val="20"/>
          <w:lang w:eastAsia="zh-CN"/>
        </w:rPr>
      </w:pPr>
      <w:r>
        <w:rPr>
          <w:rFonts w:ascii="Calibri" w:hAnsi="宋体" w:eastAsia="宋体" w:cs="Times New Roman"/>
          <w:snapToGrid/>
          <w:color w:val="auto"/>
          <w:szCs w:val="20"/>
          <w:lang w:eastAsia="zh-CN"/>
        </w:rPr>
        <w:t>信用的原则，双方就下述建设工程委托造价咨询与其他服务事项协商一致，订立本合同。</w:t>
      </w:r>
    </w:p>
    <w:p w14:paraId="47DCD373">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189" w:name="_Toc5969"/>
      <w:bookmarkStart w:id="190" w:name="_Toc29056522"/>
      <w:bookmarkStart w:id="191" w:name="_Toc511223312"/>
      <w:bookmarkStart w:id="192" w:name="_Toc21694030"/>
      <w:bookmarkStart w:id="193" w:name="_Toc419045056"/>
      <w:r>
        <w:rPr>
          <w:rFonts w:ascii="宋体" w:hAnsi="宋体" w:eastAsia="宋体" w:cs="Times New Roman"/>
          <w:b/>
          <w:snapToGrid/>
          <w:color w:val="auto"/>
          <w:lang w:eastAsia="zh-CN"/>
        </w:rPr>
        <w:t>一、工程概况</w:t>
      </w:r>
      <w:bookmarkEnd w:id="189"/>
      <w:bookmarkEnd w:id="190"/>
      <w:bookmarkEnd w:id="191"/>
      <w:bookmarkEnd w:id="192"/>
    </w:p>
    <w:p w14:paraId="7DA8B079">
      <w:pPr>
        <w:widowControl w:val="0"/>
        <w:kinsoku/>
        <w:autoSpaceDE/>
        <w:autoSpaceDN/>
        <w:adjustRightInd/>
        <w:snapToGrid/>
        <w:spacing w:line="360" w:lineRule="auto"/>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 xml:space="preserve">     1.</w:t>
      </w:r>
      <w:r>
        <w:rPr>
          <w:rFonts w:ascii="Calibri" w:hAnsi="宋体" w:eastAsia="宋体" w:cs="Times New Roman"/>
          <w:snapToGrid/>
          <w:color w:val="auto"/>
          <w:kern w:val="2"/>
          <w:lang w:eastAsia="zh-CN"/>
        </w:rPr>
        <w:t>工程名称：</w:t>
      </w:r>
      <w:r>
        <w:rPr>
          <w:rFonts w:ascii="Calibri" w:hAnsi="Calibri" w:eastAsia="宋体" w:cs="Times New Roman"/>
          <w:snapToGrid/>
          <w:color w:val="auto"/>
          <w:kern w:val="2"/>
          <w:u w:val="single"/>
          <w:lang w:eastAsia="zh-CN"/>
        </w:rPr>
        <w:t xml:space="preserve">  山东济钢环保新材料有限公司工程造价咨询服务 </w:t>
      </w:r>
      <w:r>
        <w:rPr>
          <w:rFonts w:ascii="Calibri" w:hAnsi="Calibri" w:eastAsia="宋体" w:cs="Times New Roman"/>
          <w:snapToGrid/>
          <w:color w:val="auto"/>
          <w:kern w:val="2"/>
          <w:lang w:eastAsia="zh-CN"/>
        </w:rPr>
        <w:t>。</w:t>
      </w:r>
    </w:p>
    <w:p w14:paraId="4B872005">
      <w:pPr>
        <w:widowControl w:val="0"/>
        <w:kinsoku/>
        <w:autoSpaceDE/>
        <w:autoSpaceDN/>
        <w:adjustRightInd/>
        <w:snapToGrid/>
        <w:spacing w:line="360" w:lineRule="auto"/>
        <w:contextualSpacing/>
        <w:jc w:val="both"/>
        <w:textAlignment w:val="auto"/>
        <w:rPr>
          <w:rFonts w:ascii="Calibri" w:hAnsi="Calibri" w:eastAsia="宋体" w:cs="Times New Roman"/>
          <w:snapToGrid/>
          <w:color w:val="auto"/>
          <w:kern w:val="2"/>
          <w:u w:val="single"/>
          <w:lang w:eastAsia="zh-CN"/>
        </w:rPr>
      </w:pPr>
      <w:r>
        <w:rPr>
          <w:rFonts w:ascii="Calibri" w:hAnsi="Calibri" w:eastAsia="宋体" w:cs="Times New Roman"/>
          <w:snapToGrid/>
          <w:color w:val="auto"/>
          <w:kern w:val="2"/>
          <w:lang w:eastAsia="zh-CN"/>
        </w:rPr>
        <w:t xml:space="preserve">     2.</w:t>
      </w:r>
      <w:r>
        <w:rPr>
          <w:rFonts w:ascii="Calibri" w:hAnsi="宋体" w:eastAsia="宋体" w:cs="Times New Roman"/>
          <w:snapToGrid/>
          <w:color w:val="auto"/>
          <w:kern w:val="2"/>
          <w:lang w:eastAsia="zh-CN"/>
        </w:rPr>
        <w:t>工程地点：</w:t>
      </w:r>
      <w:bookmarkEnd w:id="193"/>
      <w:r>
        <w:rPr>
          <w:rFonts w:ascii="Calibri" w:hAnsi="Calibri" w:eastAsia="宋体" w:cs="Times New Roman"/>
          <w:snapToGrid/>
          <w:color w:val="auto"/>
          <w:kern w:val="2"/>
          <w:u w:val="single"/>
          <w:lang w:eastAsia="zh-CN"/>
        </w:rPr>
        <w:t xml:space="preserve">  济南市</w:t>
      </w:r>
      <w:r>
        <w:rPr>
          <w:rFonts w:ascii="Calibri" w:hAnsi="Calibri" w:eastAsia="宋体" w:cs="Times New Roman"/>
          <w:snapToGrid/>
          <w:color w:val="auto"/>
          <w:kern w:val="2"/>
          <w:lang w:eastAsia="zh-CN"/>
        </w:rPr>
        <w:t>。</w:t>
      </w:r>
    </w:p>
    <w:p w14:paraId="19E448A5">
      <w:pPr>
        <w:kinsoku/>
        <w:autoSpaceDE/>
        <w:autoSpaceDN/>
        <w:adjustRightInd/>
        <w:snapToGrid/>
        <w:spacing w:line="360" w:lineRule="auto"/>
        <w:ind w:firstLine="525" w:firstLineChars="250"/>
        <w:contextualSpacing/>
        <w:textAlignment w:val="auto"/>
        <w:rPr>
          <w:rFonts w:ascii="Calibri" w:hAnsi="Calibri" w:eastAsia="宋体" w:cs="Times New Roman"/>
          <w:snapToGrid/>
          <w:color w:val="auto"/>
          <w:szCs w:val="20"/>
          <w:u w:val="single"/>
          <w:lang w:eastAsia="zh-CN"/>
        </w:rPr>
      </w:pPr>
      <w:r>
        <w:rPr>
          <w:rFonts w:ascii="Calibri" w:hAnsi="Calibri" w:eastAsia="宋体" w:cs="Times New Roman"/>
          <w:snapToGrid/>
          <w:color w:val="auto"/>
          <w:szCs w:val="20"/>
          <w:lang w:eastAsia="zh-CN"/>
        </w:rPr>
        <w:t>3.</w:t>
      </w:r>
      <w:r>
        <w:rPr>
          <w:rFonts w:ascii="Calibri" w:hAnsi="宋体" w:eastAsia="宋体" w:cs="Times New Roman"/>
          <w:snapToGrid/>
          <w:color w:val="auto"/>
          <w:szCs w:val="20"/>
          <w:lang w:eastAsia="zh-CN"/>
        </w:rPr>
        <w:t>工程规模：</w:t>
      </w:r>
    </w:p>
    <w:p w14:paraId="65C399D6">
      <w:pPr>
        <w:kinsoku/>
        <w:autoSpaceDE/>
        <w:autoSpaceDN/>
        <w:adjustRightInd/>
        <w:snapToGrid/>
        <w:spacing w:line="360" w:lineRule="auto"/>
        <w:ind w:firstLine="525" w:firstLineChars="250"/>
        <w:contextualSpacing/>
        <w:textAlignment w:val="auto"/>
        <w:rPr>
          <w:rFonts w:ascii="Calibri" w:hAnsi="Calibri" w:eastAsia="宋体" w:cs="Times New Roman"/>
          <w:snapToGrid/>
          <w:color w:val="auto"/>
          <w:szCs w:val="20"/>
          <w:u w:val="single"/>
          <w:lang w:eastAsia="zh-CN"/>
        </w:rPr>
      </w:pPr>
      <w:r>
        <w:rPr>
          <w:rFonts w:ascii="Calibri" w:hAnsi="Calibri" w:eastAsia="宋体" w:cs="Times New Roman"/>
          <w:snapToGrid/>
          <w:color w:val="auto"/>
          <w:szCs w:val="20"/>
          <w:lang w:eastAsia="zh-CN"/>
        </w:rPr>
        <w:t>4.</w:t>
      </w:r>
      <w:r>
        <w:rPr>
          <w:rFonts w:ascii="Calibri" w:hAnsi="宋体" w:eastAsia="宋体" w:cs="Times New Roman"/>
          <w:snapToGrid/>
          <w:color w:val="auto"/>
          <w:szCs w:val="20"/>
          <w:lang w:eastAsia="zh-CN"/>
        </w:rPr>
        <w:t>投资金额：</w:t>
      </w:r>
    </w:p>
    <w:p w14:paraId="1BF193EA">
      <w:pPr>
        <w:kinsoku/>
        <w:autoSpaceDE/>
        <w:autoSpaceDN/>
        <w:adjustRightInd/>
        <w:snapToGrid/>
        <w:spacing w:line="360" w:lineRule="auto"/>
        <w:ind w:firstLine="525" w:firstLineChars="250"/>
        <w:contextualSpacing/>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5.</w:t>
      </w:r>
      <w:r>
        <w:rPr>
          <w:rFonts w:ascii="Calibri" w:hAnsi="宋体" w:eastAsia="宋体" w:cs="Times New Roman"/>
          <w:snapToGrid/>
          <w:color w:val="auto"/>
          <w:szCs w:val="20"/>
          <w:lang w:eastAsia="zh-CN"/>
        </w:rPr>
        <w:t>资金来源：</w:t>
      </w:r>
      <w:r>
        <w:rPr>
          <w:rFonts w:ascii="Calibri" w:hAnsi="Calibri" w:eastAsia="宋体" w:cs="Times New Roman"/>
          <w:snapToGrid/>
          <w:color w:val="auto"/>
          <w:szCs w:val="20"/>
          <w:u w:val="single"/>
          <w:lang w:eastAsia="zh-CN"/>
        </w:rPr>
        <w:t xml:space="preserve"> 自筹 </w:t>
      </w:r>
      <w:r>
        <w:rPr>
          <w:rFonts w:ascii="Calibri" w:hAnsi="Calibri" w:eastAsia="宋体" w:cs="Times New Roman"/>
          <w:snapToGrid/>
          <w:color w:val="auto"/>
          <w:lang w:eastAsia="zh-CN"/>
        </w:rPr>
        <w:t>。</w:t>
      </w:r>
    </w:p>
    <w:p w14:paraId="0D823AA8">
      <w:pPr>
        <w:kinsoku/>
        <w:autoSpaceDE/>
        <w:autoSpaceDN/>
        <w:adjustRightInd/>
        <w:snapToGrid/>
        <w:spacing w:line="360" w:lineRule="auto"/>
        <w:ind w:firstLine="525" w:firstLineChars="250"/>
        <w:contextualSpacing/>
        <w:jc w:val="both"/>
        <w:textAlignment w:val="auto"/>
        <w:rPr>
          <w:rFonts w:ascii="Calibri" w:hAnsi="Calibri" w:eastAsia="宋体" w:cs="Times New Roman"/>
          <w:snapToGrid/>
          <w:color w:val="auto"/>
          <w:szCs w:val="20"/>
          <w:lang w:eastAsia="zh-CN"/>
        </w:rPr>
      </w:pPr>
      <w:r>
        <w:rPr>
          <w:rFonts w:hint="eastAsia" w:ascii="Calibri" w:hAnsi="Calibri" w:eastAsia="宋体" w:cs="Times New Roman"/>
          <w:snapToGrid/>
          <w:color w:val="auto"/>
          <w:szCs w:val="20"/>
          <w:lang w:eastAsia="zh-CN"/>
        </w:rPr>
        <w:t>6</w:t>
      </w:r>
      <w:r>
        <w:rPr>
          <w:rFonts w:ascii="Calibri" w:hAnsi="Calibri" w:eastAsia="宋体" w:cs="Times New Roman"/>
          <w:snapToGrid/>
          <w:color w:val="auto"/>
          <w:szCs w:val="20"/>
          <w:lang w:eastAsia="zh-CN"/>
        </w:rPr>
        <w:t>.</w:t>
      </w:r>
      <w:r>
        <w:rPr>
          <w:rFonts w:ascii="Calibri" w:hAnsi="宋体" w:eastAsia="宋体" w:cs="Times New Roman"/>
          <w:snapToGrid/>
          <w:color w:val="auto"/>
          <w:szCs w:val="20"/>
          <w:lang w:eastAsia="zh-CN"/>
        </w:rPr>
        <w:t>其他：</w:t>
      </w:r>
      <w:r>
        <w:rPr>
          <w:rFonts w:ascii="Calibri" w:hAnsi="Calibri" w:eastAsia="宋体" w:cs="Times New Roman"/>
          <w:snapToGrid/>
          <w:color w:val="auto"/>
          <w:szCs w:val="20"/>
          <w:u w:val="single"/>
          <w:lang w:eastAsia="zh-CN"/>
        </w:rPr>
        <w:t>无</w:t>
      </w:r>
      <w:r>
        <w:rPr>
          <w:rFonts w:ascii="Calibri" w:hAnsi="宋体" w:eastAsia="宋体" w:cs="Times New Roman"/>
          <w:snapToGrid/>
          <w:color w:val="auto"/>
          <w:szCs w:val="20"/>
          <w:lang w:eastAsia="zh-CN"/>
        </w:rPr>
        <w:t>。</w:t>
      </w:r>
    </w:p>
    <w:p w14:paraId="5810FAD3">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194" w:name="_Toc5076"/>
      <w:bookmarkStart w:id="195" w:name="_Toc419045059"/>
      <w:bookmarkStart w:id="196" w:name="_Toc29056523"/>
      <w:bookmarkStart w:id="197" w:name="_Toc21694031"/>
      <w:bookmarkStart w:id="198" w:name="_Toc511223313"/>
      <w:r>
        <w:rPr>
          <w:rFonts w:ascii="宋体" w:hAnsi="宋体" w:eastAsia="宋体" w:cs="Times New Roman"/>
          <w:b/>
          <w:snapToGrid/>
          <w:color w:val="auto"/>
          <w:lang w:eastAsia="zh-CN"/>
        </w:rPr>
        <w:t>二、服务范围及工作内容</w:t>
      </w:r>
      <w:bookmarkEnd w:id="194"/>
      <w:bookmarkEnd w:id="195"/>
      <w:bookmarkEnd w:id="196"/>
      <w:bookmarkEnd w:id="197"/>
      <w:bookmarkEnd w:id="198"/>
    </w:p>
    <w:p w14:paraId="1649C08C">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双方约定的服务范围及工作内容：</w:t>
      </w:r>
    </w:p>
    <w:p w14:paraId="03DB60F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hint="eastAsia" w:ascii="Calibri" w:hAnsi="宋体" w:eastAsia="宋体" w:cs="Times New Roman"/>
          <w:snapToGrid/>
          <w:color w:val="auto"/>
          <w:kern w:val="2"/>
          <w:lang w:eastAsia="zh-CN"/>
        </w:rPr>
        <w:t>（</w:t>
      </w:r>
      <w:r>
        <w:rPr>
          <w:rFonts w:ascii="Calibri" w:hAnsi="宋体" w:eastAsia="宋体" w:cs="Times New Roman"/>
          <w:snapToGrid/>
          <w:color w:val="auto"/>
          <w:kern w:val="2"/>
          <w:lang w:eastAsia="zh-CN"/>
        </w:rPr>
        <w:t>1</w:t>
      </w:r>
      <w:r>
        <w:rPr>
          <w:rFonts w:hint="eastAsia" w:ascii="Calibri" w:hAnsi="宋体" w:eastAsia="宋体" w:cs="Times New Roman"/>
          <w:snapToGrid/>
          <w:color w:val="auto"/>
          <w:kern w:val="2"/>
          <w:lang w:eastAsia="zh-CN"/>
        </w:rPr>
        <w:t>）项目概算、施工图预算、招标控制价（最高投标限价）及工程量清单编制；</w:t>
      </w:r>
    </w:p>
    <w:p w14:paraId="1224CF2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hint="eastAsia" w:ascii="Calibri" w:hAnsi="宋体" w:eastAsia="宋体" w:cs="Times New Roman"/>
          <w:snapToGrid/>
          <w:color w:val="auto"/>
          <w:kern w:val="2"/>
          <w:lang w:eastAsia="zh-CN"/>
        </w:rPr>
        <w:t>（</w:t>
      </w:r>
      <w:r>
        <w:rPr>
          <w:rFonts w:ascii="Calibri" w:hAnsi="宋体" w:eastAsia="宋体" w:cs="Times New Roman"/>
          <w:snapToGrid/>
          <w:color w:val="auto"/>
          <w:kern w:val="2"/>
          <w:lang w:eastAsia="zh-CN"/>
        </w:rPr>
        <w:t>2</w:t>
      </w:r>
      <w:r>
        <w:rPr>
          <w:rFonts w:hint="eastAsia" w:ascii="Calibri" w:hAnsi="宋体" w:eastAsia="宋体" w:cs="Times New Roman"/>
          <w:snapToGrid/>
          <w:color w:val="auto"/>
          <w:kern w:val="2"/>
          <w:lang w:eastAsia="zh-CN"/>
        </w:rPr>
        <w:t>）工程造价过程控制与跟踪审核咨询服务，包括对工程招标文件和施工合同的商务条款提出咨询意见，审核施工图预算，协助委托人审核设计变更、现场签证、进度款审核、竣工结算审核等全过程造价咨询服务；</w:t>
      </w:r>
    </w:p>
    <w:p w14:paraId="1AC518A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hint="eastAsia" w:ascii="Calibri" w:hAnsi="宋体" w:eastAsia="宋体" w:cs="Times New Roman"/>
          <w:snapToGrid/>
          <w:color w:val="auto"/>
          <w:kern w:val="2"/>
          <w:lang w:eastAsia="zh-CN"/>
        </w:rPr>
        <w:t>（</w:t>
      </w:r>
      <w:r>
        <w:rPr>
          <w:rFonts w:ascii="Calibri" w:hAnsi="宋体" w:eastAsia="宋体" w:cs="Times New Roman"/>
          <w:snapToGrid/>
          <w:color w:val="auto"/>
          <w:kern w:val="2"/>
          <w:lang w:eastAsia="zh-CN"/>
        </w:rPr>
        <w:t>3</w:t>
      </w:r>
      <w:r>
        <w:rPr>
          <w:rFonts w:hint="eastAsia" w:ascii="Calibri" w:hAnsi="宋体" w:eastAsia="宋体" w:cs="Times New Roman"/>
          <w:snapToGrid/>
          <w:color w:val="auto"/>
          <w:kern w:val="2"/>
          <w:lang w:eastAsia="zh-CN"/>
        </w:rPr>
        <w:t>）竣工结算审核。</w:t>
      </w:r>
    </w:p>
    <w:p w14:paraId="47B2D8CF">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服务范围及工作内容详见附录</w:t>
      </w:r>
      <w:r>
        <w:rPr>
          <w:rFonts w:ascii="Calibri" w:hAnsi="Calibri" w:eastAsia="宋体" w:cs="Times New Roman"/>
          <w:snapToGrid/>
          <w:color w:val="auto"/>
          <w:kern w:val="2"/>
          <w:lang w:eastAsia="zh-CN"/>
        </w:rPr>
        <w:t>A和专用条件中的补充条款</w:t>
      </w:r>
      <w:r>
        <w:rPr>
          <w:rFonts w:ascii="Calibri" w:hAnsi="宋体" w:eastAsia="宋体" w:cs="Times New Roman"/>
          <w:snapToGrid/>
          <w:color w:val="auto"/>
          <w:kern w:val="2"/>
          <w:lang w:eastAsia="zh-CN"/>
        </w:rPr>
        <w:t>。</w:t>
      </w:r>
      <w:bookmarkStart w:id="199" w:name="_Toc419045060"/>
      <w:bookmarkStart w:id="200" w:name="9"/>
    </w:p>
    <w:p w14:paraId="33344EA6">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201" w:name="_Toc31466"/>
      <w:bookmarkStart w:id="202" w:name="_Toc511223314"/>
      <w:bookmarkStart w:id="203" w:name="_Toc21694032"/>
      <w:bookmarkStart w:id="204" w:name="_Toc29056524"/>
      <w:r>
        <w:rPr>
          <w:rFonts w:ascii="宋体" w:hAnsi="宋体" w:eastAsia="宋体" w:cs="Times New Roman"/>
          <w:b/>
          <w:snapToGrid/>
          <w:color w:val="auto"/>
          <w:lang w:eastAsia="zh-CN"/>
        </w:rPr>
        <w:t>三、服务期限</w:t>
      </w:r>
      <w:bookmarkEnd w:id="199"/>
      <w:bookmarkEnd w:id="201"/>
      <w:bookmarkEnd w:id="202"/>
      <w:bookmarkEnd w:id="203"/>
      <w:bookmarkEnd w:id="204"/>
    </w:p>
    <w:bookmarkEnd w:id="200"/>
    <w:p w14:paraId="5A5297C4">
      <w:pPr>
        <w:widowControl w:val="0"/>
        <w:kinsoku/>
        <w:snapToGrid/>
        <w:spacing w:line="360" w:lineRule="auto"/>
        <w:ind w:firstLine="420" w:firstLineChars="200"/>
        <w:textAlignment w:val="auto"/>
        <w:outlineLvl w:val="1"/>
        <w:rPr>
          <w:rFonts w:hint="eastAsia" w:ascii="Calibri" w:hAnsi="宋体" w:eastAsia="宋体" w:cs="Times New Roman"/>
          <w:snapToGrid/>
          <w:color w:val="auto"/>
          <w:szCs w:val="20"/>
          <w:lang w:eastAsia="zh-CN"/>
        </w:rPr>
      </w:pPr>
      <w:bookmarkStart w:id="205" w:name="_Toc511223315"/>
      <w:bookmarkStart w:id="206" w:name="_Toc21694033"/>
      <w:bookmarkStart w:id="207" w:name="_Toc18234"/>
      <w:bookmarkStart w:id="208" w:name="_Toc419045061"/>
      <w:bookmarkStart w:id="209" w:name="_Toc29056525"/>
      <w:r>
        <w:rPr>
          <w:rFonts w:ascii="Calibri" w:hAnsi="宋体" w:eastAsia="宋体" w:cs="Times New Roman"/>
          <w:snapToGrid/>
          <w:color w:val="auto"/>
          <w:szCs w:val="20"/>
          <w:lang w:eastAsia="zh-CN"/>
        </w:rPr>
        <w:t>本合同服务期自合同签订且收到委托人服务通知之日起，至受托人提供造价咨询服务的项目累计</w:t>
      </w:r>
      <w:r>
        <w:rPr>
          <w:rFonts w:hint="eastAsia" w:ascii="Calibri" w:hAnsi="宋体" w:eastAsia="宋体" w:cs="Times New Roman"/>
          <w:snapToGrid/>
          <w:color w:val="auto"/>
          <w:szCs w:val="20"/>
          <w:lang w:eastAsia="zh-CN"/>
        </w:rPr>
        <w:t>结算</w:t>
      </w:r>
      <w:r>
        <w:rPr>
          <w:rFonts w:ascii="Calibri" w:hAnsi="宋体" w:eastAsia="宋体" w:cs="Times New Roman"/>
          <w:snapToGrid/>
          <w:color w:val="auto"/>
          <w:szCs w:val="20"/>
          <w:lang w:eastAsia="zh-CN"/>
        </w:rPr>
        <w:t>金额达到人民币2000万元之日止。若最后一个项目完成后累计</w:t>
      </w:r>
      <w:r>
        <w:rPr>
          <w:rFonts w:hint="eastAsia" w:ascii="Calibri" w:hAnsi="宋体" w:eastAsia="宋体" w:cs="Times New Roman"/>
          <w:snapToGrid/>
          <w:color w:val="auto"/>
          <w:szCs w:val="20"/>
          <w:lang w:eastAsia="zh-CN"/>
        </w:rPr>
        <w:t>结算</w:t>
      </w:r>
      <w:r>
        <w:rPr>
          <w:rFonts w:ascii="Calibri" w:hAnsi="宋体" w:eastAsia="宋体" w:cs="Times New Roman"/>
          <w:snapToGrid/>
          <w:color w:val="auto"/>
          <w:szCs w:val="20"/>
          <w:lang w:eastAsia="zh-CN"/>
        </w:rPr>
        <w:t>金额超过人民币2000万元的，以该项目出具造价咨询报告</w:t>
      </w:r>
      <w:r>
        <w:rPr>
          <w:rFonts w:hint="eastAsia" w:ascii="Calibri" w:hAnsi="宋体" w:eastAsia="宋体" w:cs="Times New Roman"/>
          <w:snapToGrid/>
          <w:color w:val="auto"/>
          <w:szCs w:val="20"/>
          <w:lang w:eastAsia="zh-CN"/>
        </w:rPr>
        <w:t>，结算</w:t>
      </w:r>
      <w:r>
        <w:rPr>
          <w:rFonts w:ascii="Calibri" w:hAnsi="宋体" w:eastAsia="宋体" w:cs="Times New Roman"/>
          <w:snapToGrid/>
          <w:color w:val="auto"/>
          <w:szCs w:val="20"/>
          <w:lang w:eastAsia="zh-CN"/>
        </w:rPr>
        <w:t>完成之日作为服务期届满之日。</w:t>
      </w:r>
    </w:p>
    <w:p w14:paraId="11D6F1F9">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r>
        <w:rPr>
          <w:rFonts w:ascii="宋体" w:hAnsi="宋体" w:eastAsia="宋体" w:cs="Times New Roman"/>
          <w:b/>
          <w:snapToGrid/>
          <w:color w:val="auto"/>
          <w:lang w:eastAsia="zh-CN"/>
        </w:rPr>
        <w:t>四、质量标准</w:t>
      </w:r>
      <w:bookmarkEnd w:id="205"/>
      <w:bookmarkEnd w:id="206"/>
      <w:bookmarkEnd w:id="207"/>
      <w:bookmarkEnd w:id="208"/>
      <w:bookmarkEnd w:id="209"/>
    </w:p>
    <w:p w14:paraId="7E0DA828">
      <w:pPr>
        <w:widowControl w:val="0"/>
        <w:kinsoku/>
        <w:snapToGrid/>
        <w:spacing w:before="240" w:line="360" w:lineRule="auto"/>
        <w:ind w:firstLine="420" w:firstLineChars="200"/>
        <w:textAlignment w:val="auto"/>
        <w:outlineLvl w:val="1"/>
        <w:rPr>
          <w:rFonts w:hint="eastAsia" w:ascii="Calibri" w:hAnsi="宋体" w:eastAsia="宋体" w:cs="Times New Roman"/>
          <w:snapToGrid/>
          <w:color w:val="auto"/>
          <w:kern w:val="2"/>
          <w:lang w:eastAsia="zh-CN"/>
        </w:rPr>
      </w:pPr>
      <w:bookmarkStart w:id="210" w:name="_Toc22337"/>
      <w:bookmarkStart w:id="211" w:name="_Toc21694034"/>
      <w:bookmarkStart w:id="212" w:name="_Toc511223316"/>
      <w:bookmarkStart w:id="213" w:name="_Toc419045062"/>
      <w:bookmarkStart w:id="214" w:name="_Toc29056526"/>
      <w:r>
        <w:rPr>
          <w:rFonts w:ascii="Calibri" w:hAnsi="宋体" w:eastAsia="宋体" w:cs="Times New Roman"/>
          <w:snapToGrid/>
          <w:color w:val="auto"/>
          <w:kern w:val="2"/>
          <w:lang w:eastAsia="zh-CN"/>
        </w:rPr>
        <w:t>工程造价咨询成果文件应符合：《建设项目工程结算编审规程》CECA-GC3-20</w:t>
      </w:r>
      <w:r>
        <w:rPr>
          <w:rFonts w:hint="eastAsia" w:ascii="Calibri" w:hAnsi="宋体" w:eastAsia="宋体" w:cs="Times New Roman"/>
          <w:snapToGrid/>
          <w:color w:val="auto"/>
          <w:kern w:val="2"/>
          <w:lang w:eastAsia="zh-CN"/>
        </w:rPr>
        <w:t>10</w:t>
      </w:r>
      <w:r>
        <w:rPr>
          <w:rFonts w:ascii="Calibri" w:hAnsi="宋体" w:eastAsia="宋体" w:cs="Times New Roman"/>
          <w:snapToGrid/>
          <w:color w:val="auto"/>
          <w:kern w:val="2"/>
          <w:lang w:eastAsia="zh-CN"/>
        </w:rPr>
        <w:t>，工程造价咨询成果允许偏差值控制在±3%以内。</w:t>
      </w:r>
    </w:p>
    <w:p w14:paraId="6CF90A67">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r>
        <w:rPr>
          <w:rFonts w:ascii="宋体" w:hAnsi="宋体" w:eastAsia="宋体" w:cs="Times New Roman"/>
          <w:b/>
          <w:snapToGrid/>
          <w:color w:val="auto"/>
          <w:lang w:eastAsia="zh-CN"/>
        </w:rPr>
        <w:t>五、</w:t>
      </w:r>
      <w:r>
        <w:rPr>
          <w:rFonts w:hint="eastAsia" w:ascii="宋体" w:hAnsi="宋体" w:eastAsia="宋体" w:cs="Times New Roman"/>
          <w:b/>
          <w:snapToGrid/>
          <w:color w:val="auto"/>
          <w:lang w:eastAsia="zh-CN"/>
        </w:rPr>
        <w:t>结算及支付</w:t>
      </w:r>
      <w:r>
        <w:rPr>
          <w:rFonts w:ascii="宋体" w:hAnsi="宋体" w:eastAsia="宋体" w:cs="Times New Roman"/>
          <w:b/>
          <w:snapToGrid/>
          <w:color w:val="auto"/>
          <w:lang w:eastAsia="zh-CN"/>
        </w:rPr>
        <w:t>方式</w:t>
      </w:r>
      <w:bookmarkEnd w:id="210"/>
      <w:bookmarkEnd w:id="211"/>
      <w:bookmarkEnd w:id="212"/>
      <w:bookmarkEnd w:id="213"/>
      <w:bookmarkEnd w:id="214"/>
    </w:p>
    <w:p w14:paraId="401B1BE6">
      <w:pPr>
        <w:widowControl w:val="0"/>
        <w:kinsoku/>
        <w:snapToGrid/>
        <w:spacing w:before="240" w:line="360" w:lineRule="auto"/>
        <w:ind w:firstLine="420" w:firstLineChars="200"/>
        <w:textAlignment w:val="auto"/>
        <w:outlineLvl w:val="1"/>
        <w:rPr>
          <w:rFonts w:hint="eastAsia" w:ascii="Calibri" w:hAnsi="宋体" w:eastAsia="宋体" w:cs="Times New Roman"/>
          <w:snapToGrid/>
          <w:color w:val="auto"/>
          <w:kern w:val="2"/>
          <w:lang w:eastAsia="zh-CN"/>
        </w:rPr>
      </w:pPr>
      <w:r>
        <w:rPr>
          <w:rFonts w:hint="eastAsia" w:ascii="Calibri" w:hAnsi="宋体" w:eastAsia="宋体" w:cs="Times New Roman"/>
          <w:snapToGrid/>
          <w:color w:val="auto"/>
          <w:kern w:val="2"/>
          <w:lang w:eastAsia="zh-CN"/>
        </w:rPr>
        <w:t>结算方式</w:t>
      </w:r>
    </w:p>
    <w:p w14:paraId="6B0A12FB">
      <w:pPr>
        <w:widowControl w:val="0"/>
        <w:kinsoku/>
        <w:snapToGrid/>
        <w:spacing w:before="240" w:line="360" w:lineRule="auto"/>
        <w:ind w:firstLine="420" w:firstLineChars="200"/>
        <w:textAlignment w:val="auto"/>
        <w:outlineLvl w:val="1"/>
        <w:rPr>
          <w:rFonts w:hint="eastAsia" w:ascii="Calibri" w:hAnsi="宋体" w:eastAsia="宋体" w:cs="Times New Roman"/>
          <w:snapToGrid/>
          <w:color w:val="auto"/>
          <w:kern w:val="2"/>
          <w:lang w:eastAsia="zh-CN"/>
        </w:rPr>
      </w:pPr>
      <w:r>
        <w:rPr>
          <w:rFonts w:hint="eastAsia" w:ascii="Calibri" w:hAnsi="宋体" w:eastAsia="宋体" w:cs="Times New Roman"/>
          <w:snapToGrid/>
          <w:color w:val="auto"/>
          <w:kern w:val="2"/>
          <w:lang w:eastAsia="zh-CN"/>
        </w:rPr>
        <w:t>（</w:t>
      </w:r>
      <w:r>
        <w:rPr>
          <w:rFonts w:ascii="Calibri" w:hAnsi="宋体" w:eastAsia="宋体" w:cs="Times New Roman"/>
          <w:snapToGrid/>
          <w:color w:val="auto"/>
          <w:kern w:val="2"/>
          <w:lang w:eastAsia="zh-CN"/>
        </w:rPr>
        <w:t>1</w:t>
      </w:r>
      <w:r>
        <w:rPr>
          <w:rFonts w:hint="eastAsia" w:ascii="Calibri" w:hAnsi="宋体" w:eastAsia="宋体" w:cs="Times New Roman"/>
          <w:snapToGrid/>
          <w:color w:val="auto"/>
          <w:kern w:val="2"/>
          <w:lang w:eastAsia="zh-CN"/>
        </w:rPr>
        <w:t>）咨询服务费以经委托人确认的成果文件（造价咨询报告）所对应的金额为计费基数，乘以成交费率计算，即：咨询费＝计费基数1×成交费率（‰）+计费基数2×成交费率（‰）。</w:t>
      </w:r>
    </w:p>
    <w:p w14:paraId="7C870B82">
      <w:pPr>
        <w:widowControl w:val="0"/>
        <w:kinsoku/>
        <w:snapToGrid/>
        <w:spacing w:before="240" w:line="360" w:lineRule="auto"/>
        <w:ind w:firstLine="420" w:firstLineChars="200"/>
        <w:textAlignment w:val="auto"/>
        <w:outlineLvl w:val="1"/>
        <w:rPr>
          <w:rFonts w:hint="eastAsia" w:ascii="Calibri" w:hAnsi="宋体" w:eastAsia="宋体" w:cs="Times New Roman"/>
          <w:snapToGrid/>
          <w:color w:val="auto"/>
          <w:kern w:val="2"/>
          <w:lang w:eastAsia="zh-CN"/>
        </w:rPr>
      </w:pPr>
      <w:r>
        <w:rPr>
          <w:rFonts w:hint="eastAsia" w:ascii="Calibri" w:hAnsi="宋体" w:eastAsia="宋体" w:cs="Times New Roman"/>
          <w:snapToGrid/>
          <w:color w:val="auto"/>
          <w:kern w:val="2"/>
          <w:lang w:eastAsia="zh-CN"/>
        </w:rPr>
        <w:t>（</w:t>
      </w:r>
      <w:r>
        <w:rPr>
          <w:rFonts w:ascii="Calibri" w:hAnsi="宋体" w:eastAsia="宋体" w:cs="Times New Roman"/>
          <w:snapToGrid/>
          <w:color w:val="auto"/>
          <w:kern w:val="2"/>
          <w:lang w:eastAsia="zh-CN"/>
        </w:rPr>
        <w:t>2</w:t>
      </w:r>
      <w:r>
        <w:rPr>
          <w:rFonts w:hint="eastAsia" w:ascii="Calibri" w:hAnsi="宋体" w:eastAsia="宋体" w:cs="Times New Roman"/>
          <w:snapToGrid/>
          <w:color w:val="auto"/>
          <w:kern w:val="2"/>
          <w:lang w:eastAsia="zh-CN"/>
        </w:rPr>
        <w:t>）计费基数按服务阶段分别确定：</w:t>
      </w:r>
    </w:p>
    <w:p w14:paraId="63D182D2">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发承包阶段（概算、预算、招标控制价、工程量清单编制）：以经委托人确认的招标控制价（或施工图预算）金额为计费基数；</w:t>
      </w:r>
    </w:p>
    <w:p w14:paraId="77949138">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实施阶段（若涉及工程计量与进度款审核、变更签证审核、过程跟踪审核等）：以当期经委托人确认的</w:t>
      </w:r>
      <w:r>
        <w:rPr>
          <w:rFonts w:ascii="Calibri" w:eastAsia="宋体" w:cs="Times New Roman"/>
          <w:snapToGrid/>
          <w:color w:val="auto"/>
          <w:kern w:val="2"/>
          <w:sz w:val="21"/>
          <w:lang w:eastAsia="zh-CN"/>
        </w:rPr>
        <w:t>竣工结算金额</w:t>
      </w:r>
      <w:r>
        <w:rPr>
          <w:rFonts w:hint="eastAsia" w:ascii="Calibri" w:eastAsia="宋体" w:cs="Times New Roman"/>
          <w:snapToGrid/>
          <w:color w:val="auto"/>
          <w:kern w:val="2"/>
          <w:sz w:val="21"/>
          <w:lang w:eastAsia="zh-CN"/>
        </w:rPr>
        <w:t>为计费基数；</w:t>
      </w:r>
    </w:p>
    <w:p w14:paraId="199416DE">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竣工阶段（竣工结算审核）：以经委托人确认的竣工结算金额为计费基数。</w:t>
      </w:r>
    </w:p>
    <w:p w14:paraId="613E107F">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w:t>
      </w:r>
      <w:r>
        <w:rPr>
          <w:rFonts w:ascii="Calibri" w:eastAsia="宋体" w:cs="Times New Roman"/>
          <w:snapToGrid/>
          <w:color w:val="auto"/>
          <w:kern w:val="2"/>
          <w:sz w:val="21"/>
          <w:lang w:eastAsia="zh-CN"/>
        </w:rPr>
        <w:t>3</w:t>
      </w:r>
      <w:r>
        <w:rPr>
          <w:rFonts w:hint="eastAsia" w:ascii="Calibri" w:eastAsia="宋体" w:cs="Times New Roman"/>
          <w:snapToGrid/>
          <w:color w:val="auto"/>
          <w:kern w:val="2"/>
          <w:sz w:val="21"/>
          <w:lang w:eastAsia="zh-CN"/>
        </w:rPr>
        <w:t>）各阶段咨询费在各阶段成果文件经委托人验收合格后，汇总后一次结算。</w:t>
      </w:r>
    </w:p>
    <w:p w14:paraId="250BCDC7">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支付方式</w:t>
      </w:r>
    </w:p>
    <w:p w14:paraId="50E20583">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各阶段咨询费按下列节点支付：</w:t>
      </w:r>
    </w:p>
    <w:p w14:paraId="09FA519A">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w:t>
      </w:r>
      <w:r>
        <w:rPr>
          <w:rFonts w:ascii="Calibri" w:eastAsia="宋体" w:cs="Times New Roman"/>
          <w:snapToGrid/>
          <w:color w:val="auto"/>
          <w:kern w:val="2"/>
          <w:sz w:val="21"/>
          <w:lang w:eastAsia="zh-CN"/>
        </w:rPr>
        <w:t>1</w:t>
      </w:r>
      <w:r>
        <w:rPr>
          <w:rFonts w:hint="eastAsia" w:ascii="Calibri" w:eastAsia="宋体" w:cs="Times New Roman"/>
          <w:snapToGrid/>
          <w:color w:val="auto"/>
          <w:kern w:val="2"/>
          <w:sz w:val="21"/>
          <w:lang w:eastAsia="zh-CN"/>
        </w:rPr>
        <w:t>）服务期届满后，受托人完成各项目各阶段的全部咨询服务、提交全部咨询成果文件及结算资料，经委托人验收合格，且受托人开具合同金额等额、税率为</w:t>
      </w:r>
      <w:r>
        <w:rPr>
          <w:rFonts w:ascii="Calibri" w:eastAsia="宋体" w:cs="Times New Roman"/>
          <w:snapToGrid/>
          <w:color w:val="auto"/>
          <w:kern w:val="2"/>
          <w:sz w:val="21"/>
          <w:lang w:eastAsia="zh-CN"/>
        </w:rPr>
        <w:t>6%</w:t>
      </w:r>
      <w:r>
        <w:rPr>
          <w:rFonts w:hint="eastAsia" w:ascii="Calibri" w:eastAsia="宋体" w:cs="Times New Roman"/>
          <w:snapToGrid/>
          <w:color w:val="auto"/>
          <w:kern w:val="2"/>
          <w:sz w:val="21"/>
          <w:lang w:eastAsia="zh-CN"/>
        </w:rPr>
        <w:t>的增值税专用发票后，委托人自收到合格发票之日起</w:t>
      </w:r>
      <w:r>
        <w:rPr>
          <w:rFonts w:ascii="Calibri" w:eastAsia="宋体" w:cs="Times New Roman"/>
          <w:snapToGrid/>
          <w:color w:val="auto"/>
          <w:kern w:val="2"/>
          <w:sz w:val="21"/>
          <w:lang w:eastAsia="zh-CN"/>
        </w:rPr>
        <w:t>30</w:t>
      </w:r>
      <w:r>
        <w:rPr>
          <w:rFonts w:hint="eastAsia" w:ascii="Calibri" w:eastAsia="宋体" w:cs="Times New Roman"/>
          <w:snapToGrid/>
          <w:color w:val="auto"/>
          <w:kern w:val="2"/>
          <w:sz w:val="21"/>
          <w:lang w:eastAsia="zh-CN"/>
        </w:rPr>
        <w:t>个工作日内一次性付清全部咨询费，付款方式为银行电汇。</w:t>
      </w:r>
    </w:p>
    <w:p w14:paraId="631940B5">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w:t>
      </w:r>
      <w:r>
        <w:rPr>
          <w:rFonts w:ascii="Calibri" w:eastAsia="宋体" w:cs="Times New Roman"/>
          <w:snapToGrid/>
          <w:color w:val="auto"/>
          <w:kern w:val="2"/>
          <w:sz w:val="21"/>
          <w:lang w:eastAsia="zh-CN"/>
        </w:rPr>
        <w:t>2</w:t>
      </w:r>
      <w:r>
        <w:rPr>
          <w:rFonts w:hint="eastAsia" w:ascii="Calibri" w:eastAsia="宋体" w:cs="Times New Roman"/>
          <w:snapToGrid/>
          <w:color w:val="auto"/>
          <w:kern w:val="2"/>
          <w:sz w:val="21"/>
          <w:lang w:eastAsia="zh-CN"/>
        </w:rPr>
        <w:t>）合同提前解除或终止的，按受托人已完成并经委托人验收合格的咨询工作量，以实际审定额为基数按成交费率据实结算，于合同解除后</w:t>
      </w:r>
      <w:r>
        <w:rPr>
          <w:rFonts w:ascii="Calibri" w:eastAsia="宋体" w:cs="Times New Roman"/>
          <w:snapToGrid/>
          <w:color w:val="auto"/>
          <w:kern w:val="2"/>
          <w:sz w:val="21"/>
          <w:lang w:eastAsia="zh-CN"/>
        </w:rPr>
        <w:t>30</w:t>
      </w:r>
      <w:r>
        <w:rPr>
          <w:rFonts w:hint="eastAsia" w:ascii="Calibri" w:eastAsia="宋体" w:cs="Times New Roman"/>
          <w:snapToGrid/>
          <w:color w:val="auto"/>
          <w:kern w:val="2"/>
          <w:sz w:val="21"/>
          <w:lang w:eastAsia="zh-CN"/>
        </w:rPr>
        <w:t>日内支付。</w:t>
      </w:r>
    </w:p>
    <w:p w14:paraId="0AE3268D">
      <w:pPr>
        <w:pStyle w:val="2"/>
        <w:rPr>
          <w:rFonts w:hint="eastAsia" w:ascii="Calibri" w:eastAsia="宋体" w:cs="Times New Roman"/>
          <w:snapToGrid/>
          <w:color w:val="auto"/>
          <w:kern w:val="2"/>
          <w:sz w:val="21"/>
          <w:lang w:eastAsia="zh-CN"/>
        </w:rPr>
      </w:pPr>
      <w:r>
        <w:rPr>
          <w:rFonts w:hint="eastAsia" w:ascii="Calibri" w:eastAsia="宋体" w:cs="Times New Roman"/>
          <w:snapToGrid/>
          <w:color w:val="auto"/>
          <w:kern w:val="2"/>
          <w:sz w:val="21"/>
          <w:lang w:eastAsia="zh-CN"/>
        </w:rPr>
        <w:t>（</w:t>
      </w:r>
      <w:r>
        <w:rPr>
          <w:rFonts w:ascii="Calibri" w:eastAsia="宋体" w:cs="Times New Roman"/>
          <w:snapToGrid/>
          <w:color w:val="auto"/>
          <w:kern w:val="2"/>
          <w:sz w:val="21"/>
          <w:lang w:eastAsia="zh-CN"/>
        </w:rPr>
        <w:t>3</w:t>
      </w:r>
      <w:r>
        <w:rPr>
          <w:rFonts w:hint="eastAsia" w:ascii="Calibri" w:eastAsia="宋体" w:cs="Times New Roman"/>
          <w:snapToGrid/>
          <w:color w:val="auto"/>
          <w:kern w:val="2"/>
          <w:sz w:val="21"/>
          <w:lang w:eastAsia="zh-CN"/>
        </w:rPr>
        <w:t>）咨询成果经复核误差超过±</w:t>
      </w:r>
      <w:r>
        <w:rPr>
          <w:rFonts w:ascii="Calibri" w:eastAsia="宋体" w:cs="Times New Roman"/>
          <w:snapToGrid/>
          <w:color w:val="auto"/>
          <w:kern w:val="2"/>
          <w:sz w:val="21"/>
          <w:lang w:eastAsia="zh-CN"/>
        </w:rPr>
        <w:t>3%</w:t>
      </w:r>
      <w:r>
        <w:rPr>
          <w:rFonts w:hint="eastAsia" w:ascii="Calibri" w:eastAsia="宋体" w:cs="Times New Roman"/>
          <w:snapToGrid/>
          <w:color w:val="auto"/>
          <w:kern w:val="2"/>
          <w:sz w:val="21"/>
          <w:lang w:eastAsia="zh-CN"/>
        </w:rPr>
        <w:t>的，委托人有权按合同约定相应扣减本项目咨询费的5%。</w:t>
      </w:r>
      <w:bookmarkStart w:id="215" w:name="_Toc419045058"/>
      <w:bookmarkStart w:id="216" w:name="_Toc511223318"/>
      <w:bookmarkStart w:id="217" w:name="_Toc21694036"/>
      <w:r>
        <w:rPr>
          <w:rFonts w:ascii="Calibri" w:hAnsi="Calibri" w:eastAsia="宋体" w:cs="Times New Roman"/>
          <w:snapToGrid/>
          <w:color w:val="auto"/>
          <w:kern w:val="2"/>
          <w:szCs w:val="20"/>
          <w:lang w:eastAsia="zh-CN"/>
        </w:rPr>
        <w:t>付款方式为电汇。</w:t>
      </w:r>
    </w:p>
    <w:p w14:paraId="474A9343">
      <w:pPr>
        <w:widowControl w:val="0"/>
        <w:kinsoku/>
        <w:snapToGrid/>
        <w:spacing w:line="360" w:lineRule="auto"/>
        <w:ind w:firstLine="422" w:firstLineChars="200"/>
        <w:textAlignment w:val="auto"/>
        <w:outlineLvl w:val="1"/>
        <w:rPr>
          <w:rFonts w:hint="eastAsia" w:ascii="Calibri" w:hAnsi="宋体" w:eastAsia="宋体" w:cs="Times New Roman"/>
          <w:snapToGrid/>
          <w:color w:val="auto"/>
          <w:kern w:val="2"/>
          <w:lang w:eastAsia="zh-CN"/>
        </w:rPr>
      </w:pPr>
      <w:r>
        <w:rPr>
          <w:rFonts w:ascii="宋体" w:hAnsi="宋体" w:eastAsia="宋体" w:cs="Times New Roman"/>
          <w:b/>
          <w:snapToGrid/>
          <w:color w:val="auto"/>
          <w:lang w:eastAsia="zh-CN"/>
        </w:rPr>
        <w:t>七、合同文件的构成</w:t>
      </w:r>
      <w:bookmarkEnd w:id="215"/>
      <w:bookmarkEnd w:id="216"/>
      <w:bookmarkEnd w:id="217"/>
      <w:r>
        <w:rPr>
          <w:rFonts w:ascii="宋体" w:hAnsi="宋体" w:eastAsia="宋体" w:cs="Times New Roman"/>
          <w:b/>
          <w:snapToGrid/>
          <w:color w:val="auto"/>
          <w:lang w:eastAsia="zh-CN"/>
        </w:rPr>
        <w:br w:type="textWrapping"/>
      </w:r>
      <w:r>
        <w:rPr>
          <w:rFonts w:ascii="Calibri" w:hAnsi="宋体" w:eastAsia="宋体" w:cs="Times New Roman"/>
          <w:snapToGrid/>
          <w:color w:val="auto"/>
          <w:kern w:val="2"/>
          <w:lang w:eastAsia="zh-CN"/>
        </w:rPr>
        <w:t>本协议书与下列文件一起构成合同文件:</w:t>
      </w:r>
    </w:p>
    <w:p w14:paraId="13005958">
      <w:pPr>
        <w:kinsoku/>
        <w:autoSpaceDE/>
        <w:autoSpaceDN/>
        <w:adjustRightInd/>
        <w:snapToGrid/>
        <w:spacing w:line="360" w:lineRule="auto"/>
        <w:ind w:left="481"/>
        <w:contextualSpacing/>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1.</w:t>
      </w:r>
      <w:r>
        <w:rPr>
          <w:rFonts w:ascii="Calibri" w:hAnsi="宋体" w:eastAsia="宋体" w:cs="Times New Roman"/>
          <w:snapToGrid/>
          <w:color w:val="auto"/>
          <w:szCs w:val="20"/>
          <w:lang w:eastAsia="zh-CN"/>
        </w:rPr>
        <w:t>中标通知书或委托书；</w:t>
      </w:r>
    </w:p>
    <w:p w14:paraId="0F703CF2">
      <w:pPr>
        <w:kinsoku/>
        <w:autoSpaceDE/>
        <w:autoSpaceDN/>
        <w:adjustRightInd/>
        <w:snapToGrid/>
        <w:spacing w:line="360" w:lineRule="auto"/>
        <w:ind w:left="481"/>
        <w:contextualSpacing/>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2.</w:t>
      </w:r>
      <w:r>
        <w:rPr>
          <w:rFonts w:ascii="Calibri" w:hAnsi="宋体" w:eastAsia="宋体" w:cs="Times New Roman"/>
          <w:snapToGrid/>
          <w:color w:val="auto"/>
          <w:szCs w:val="20"/>
          <w:lang w:eastAsia="zh-CN"/>
        </w:rPr>
        <w:t>投标函及投标函附录或造价咨询服务建议书；</w:t>
      </w:r>
    </w:p>
    <w:p w14:paraId="5FDEB753">
      <w:pPr>
        <w:kinsoku/>
        <w:autoSpaceDE/>
        <w:autoSpaceDN/>
        <w:adjustRightInd/>
        <w:snapToGrid/>
        <w:spacing w:line="360" w:lineRule="auto"/>
        <w:ind w:left="481"/>
        <w:contextualSpacing/>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3.</w:t>
      </w:r>
      <w:r>
        <w:rPr>
          <w:rFonts w:ascii="Calibri" w:hAnsi="宋体" w:eastAsia="宋体" w:cs="Times New Roman"/>
          <w:snapToGrid/>
          <w:color w:val="auto"/>
          <w:szCs w:val="20"/>
          <w:lang w:eastAsia="zh-CN"/>
        </w:rPr>
        <w:t>专用条件及附录；</w:t>
      </w:r>
    </w:p>
    <w:p w14:paraId="7E2BD9D1">
      <w:pPr>
        <w:kinsoku/>
        <w:autoSpaceDE/>
        <w:autoSpaceDN/>
        <w:adjustRightInd/>
        <w:snapToGrid/>
        <w:spacing w:line="360" w:lineRule="auto"/>
        <w:ind w:left="481"/>
        <w:contextualSpacing/>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4.</w:t>
      </w:r>
      <w:r>
        <w:rPr>
          <w:rFonts w:ascii="Calibri" w:hAnsi="宋体" w:eastAsia="宋体" w:cs="Times New Roman"/>
          <w:snapToGrid/>
          <w:color w:val="auto"/>
          <w:szCs w:val="20"/>
          <w:lang w:eastAsia="zh-CN"/>
        </w:rPr>
        <w:t>通用条件；</w:t>
      </w:r>
    </w:p>
    <w:p w14:paraId="735031FD">
      <w:pPr>
        <w:kinsoku/>
        <w:autoSpaceDE/>
        <w:autoSpaceDN/>
        <w:adjustRightInd/>
        <w:snapToGrid/>
        <w:spacing w:line="360" w:lineRule="auto"/>
        <w:ind w:left="481"/>
        <w:contextualSpacing/>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5.</w:t>
      </w:r>
      <w:r>
        <w:rPr>
          <w:rFonts w:ascii="Calibri" w:hAnsi="宋体" w:eastAsia="宋体" w:cs="Times New Roman"/>
          <w:snapToGrid/>
          <w:color w:val="auto"/>
          <w:szCs w:val="20"/>
          <w:lang w:eastAsia="zh-CN"/>
        </w:rPr>
        <w:t>其他合同文件。</w:t>
      </w:r>
    </w:p>
    <w:p w14:paraId="669ABBE8">
      <w:pPr>
        <w:kinsoku/>
        <w:autoSpaceDE/>
        <w:autoSpaceDN/>
        <w:adjustRightInd/>
        <w:snapToGrid/>
        <w:spacing w:line="360" w:lineRule="auto"/>
        <w:ind w:firstLine="420" w:firstLineChars="200"/>
        <w:contextualSpacing/>
        <w:textAlignment w:val="auto"/>
        <w:rPr>
          <w:rFonts w:ascii="Calibri" w:hAnsi="Calibri" w:eastAsia="宋体" w:cs="Times New Roman"/>
          <w:snapToGrid/>
          <w:color w:val="auto"/>
          <w:szCs w:val="20"/>
          <w:lang w:eastAsia="zh-CN"/>
        </w:rPr>
      </w:pPr>
      <w:r>
        <w:rPr>
          <w:rFonts w:ascii="Calibri" w:hAnsi="宋体" w:eastAsia="宋体" w:cs="Times New Roman"/>
          <w:snapToGrid/>
          <w:color w:val="auto"/>
          <w:szCs w:val="20"/>
          <w:lang w:eastAsia="zh-CN"/>
        </w:rPr>
        <w:t>上述各项合同文件包括合同当事人就该项合同文件所作出的补充和修改，属于同一类内容的文件，应以最新签署的为准。</w:t>
      </w:r>
    </w:p>
    <w:p w14:paraId="59279D01">
      <w:pPr>
        <w:kinsoku/>
        <w:autoSpaceDE/>
        <w:autoSpaceDN/>
        <w:adjustRightInd/>
        <w:snapToGrid/>
        <w:spacing w:line="360" w:lineRule="auto"/>
        <w:ind w:firstLine="420" w:firstLineChars="200"/>
        <w:contextualSpacing/>
        <w:textAlignment w:val="auto"/>
        <w:rPr>
          <w:rFonts w:ascii="Calibri" w:hAnsi="Calibri" w:eastAsia="宋体" w:cs="Times New Roman"/>
          <w:bCs/>
          <w:smallCaps/>
          <w:snapToGrid/>
          <w:color w:val="auto"/>
          <w:lang w:eastAsia="zh-CN"/>
        </w:rPr>
      </w:pPr>
      <w:r>
        <w:rPr>
          <w:rFonts w:ascii="Calibri" w:hAnsi="宋体" w:eastAsia="宋体" w:cs="Times New Roman"/>
          <w:snapToGrid/>
          <w:color w:val="auto"/>
          <w:szCs w:val="20"/>
          <w:lang w:eastAsia="zh-CN"/>
        </w:rPr>
        <w:t>在合同订立及履行过程中形成的与合同有关的文件（包括补充协议）均构</w:t>
      </w:r>
      <w:r>
        <w:rPr>
          <w:rFonts w:ascii="Calibri" w:hAnsi="宋体" w:eastAsia="宋体" w:cs="Times New Roman"/>
          <w:snapToGrid/>
          <w:color w:val="auto"/>
          <w:lang w:eastAsia="zh-CN"/>
        </w:rPr>
        <w:t>成合同文件的组成部分。</w:t>
      </w:r>
    </w:p>
    <w:p w14:paraId="5FBF1484">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218" w:name="_Toc419045057"/>
      <w:bookmarkStart w:id="219" w:name="_Toc21694037"/>
      <w:bookmarkStart w:id="220" w:name="_Toc511223319"/>
      <w:bookmarkStart w:id="221" w:name="_Toc29056528"/>
      <w:bookmarkStart w:id="222" w:name="_Toc6966"/>
      <w:r>
        <w:rPr>
          <w:rFonts w:ascii="宋体" w:hAnsi="宋体" w:eastAsia="宋体" w:cs="Times New Roman"/>
          <w:b/>
          <w:snapToGrid/>
          <w:color w:val="auto"/>
          <w:lang w:eastAsia="zh-CN"/>
        </w:rPr>
        <w:t>八、</w:t>
      </w:r>
      <w:bookmarkStart w:id="223" w:name="8"/>
      <w:r>
        <w:rPr>
          <w:rFonts w:ascii="宋体" w:hAnsi="宋体" w:eastAsia="宋体" w:cs="Times New Roman"/>
          <w:b/>
          <w:snapToGrid/>
          <w:color w:val="auto"/>
          <w:lang w:eastAsia="zh-CN"/>
        </w:rPr>
        <w:t>词语</w:t>
      </w:r>
      <w:bookmarkEnd w:id="218"/>
      <w:r>
        <w:rPr>
          <w:rFonts w:ascii="宋体" w:hAnsi="宋体" w:eastAsia="宋体" w:cs="Times New Roman"/>
          <w:b/>
          <w:snapToGrid/>
          <w:color w:val="auto"/>
          <w:lang w:eastAsia="zh-CN"/>
        </w:rPr>
        <w:t>定义</w:t>
      </w:r>
      <w:bookmarkEnd w:id="219"/>
      <w:bookmarkEnd w:id="220"/>
      <w:bookmarkEnd w:id="221"/>
      <w:bookmarkEnd w:id="222"/>
    </w:p>
    <w:p w14:paraId="4082EE09">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协议书中相关词语的含义与通用条件中的定义与解释相同。</w:t>
      </w:r>
      <w:bookmarkEnd w:id="223"/>
    </w:p>
    <w:p w14:paraId="79F2A030">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224" w:name="_Toc29056529"/>
      <w:bookmarkStart w:id="225" w:name="_Toc14959"/>
      <w:bookmarkStart w:id="226" w:name="_Toc21694038"/>
      <w:bookmarkStart w:id="227" w:name="_Toc419045063"/>
      <w:bookmarkStart w:id="228" w:name="_Toc511223320"/>
      <w:r>
        <w:rPr>
          <w:rFonts w:ascii="宋体" w:hAnsi="宋体" w:eastAsia="宋体" w:cs="Times New Roman"/>
          <w:b/>
          <w:snapToGrid/>
          <w:color w:val="auto"/>
          <w:lang w:eastAsia="zh-CN"/>
        </w:rPr>
        <w:t>九、合同订立</w:t>
      </w:r>
      <w:bookmarkEnd w:id="224"/>
      <w:bookmarkEnd w:id="225"/>
      <w:bookmarkEnd w:id="226"/>
      <w:bookmarkEnd w:id="227"/>
      <w:bookmarkEnd w:id="228"/>
    </w:p>
    <w:p w14:paraId="6BF8583B">
      <w:pPr>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1.</w:t>
      </w:r>
      <w:r>
        <w:rPr>
          <w:rFonts w:ascii="Calibri" w:hAnsi="宋体" w:eastAsia="宋体" w:cs="Times New Roman"/>
          <w:snapToGrid/>
          <w:color w:val="auto"/>
          <w:szCs w:val="20"/>
          <w:lang w:eastAsia="zh-CN"/>
        </w:rPr>
        <w:t>订立时间：。</w:t>
      </w:r>
    </w:p>
    <w:p w14:paraId="315DC6F2">
      <w:pPr>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2.</w:t>
      </w:r>
      <w:r>
        <w:rPr>
          <w:rFonts w:ascii="Calibri" w:hAnsi="宋体" w:eastAsia="宋体" w:cs="Times New Roman"/>
          <w:snapToGrid/>
          <w:color w:val="auto"/>
          <w:szCs w:val="20"/>
          <w:lang w:eastAsia="zh-CN"/>
        </w:rPr>
        <w:t>订立地点：</w:t>
      </w:r>
      <w:r>
        <w:rPr>
          <w:rFonts w:ascii="Calibri" w:hAnsi="宋体" w:eastAsia="宋体" w:cs="Times New Roman"/>
          <w:snapToGrid/>
          <w:color w:val="auto"/>
          <w:kern w:val="2"/>
          <w:u w:val="single"/>
          <w:lang w:eastAsia="zh-CN"/>
        </w:rPr>
        <w:t>济南市章丘区官庄街道山东济钢环保新材料有限公司。</w:t>
      </w:r>
    </w:p>
    <w:p w14:paraId="75A600F6">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229" w:name="_Toc29056530"/>
      <w:bookmarkStart w:id="230" w:name="_Toc1515"/>
      <w:bookmarkStart w:id="231" w:name="_Toc511223321"/>
      <w:bookmarkStart w:id="232" w:name="_Toc21694039"/>
      <w:bookmarkStart w:id="233" w:name="_Toc419045064"/>
      <w:r>
        <w:rPr>
          <w:rFonts w:ascii="宋体" w:hAnsi="宋体" w:eastAsia="宋体" w:cs="Times New Roman"/>
          <w:b/>
          <w:snapToGrid/>
          <w:color w:val="auto"/>
          <w:lang w:eastAsia="zh-CN"/>
        </w:rPr>
        <w:t>十、合同生效</w:t>
      </w:r>
      <w:bookmarkEnd w:id="229"/>
      <w:bookmarkEnd w:id="230"/>
      <w:bookmarkEnd w:id="231"/>
      <w:bookmarkEnd w:id="232"/>
      <w:bookmarkEnd w:id="233"/>
    </w:p>
    <w:p w14:paraId="7C7FCF68">
      <w:pPr>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szCs w:val="20"/>
          <w:lang w:eastAsia="zh-CN"/>
        </w:rPr>
      </w:pPr>
      <w:r>
        <w:rPr>
          <w:rFonts w:ascii="Calibri" w:hAnsi="宋体" w:eastAsia="宋体" w:cs="Times New Roman"/>
          <w:snapToGrid/>
          <w:color w:val="auto"/>
          <w:szCs w:val="20"/>
          <w:lang w:eastAsia="zh-CN"/>
        </w:rPr>
        <w:t>本合同自</w:t>
      </w:r>
      <w:r>
        <w:rPr>
          <w:rFonts w:ascii="Calibri" w:hAnsi="Calibri" w:eastAsia="宋体" w:cs="Times New Roman"/>
          <w:snapToGrid/>
          <w:color w:val="auto"/>
          <w:szCs w:val="20"/>
          <w:lang w:eastAsia="zh-CN"/>
        </w:rPr>
        <w:t>_</w:t>
      </w:r>
      <w:r>
        <w:rPr>
          <w:rFonts w:ascii="Calibri" w:hAnsi="Calibri" w:eastAsia="宋体" w:cs="Times New Roman"/>
          <w:snapToGrid/>
          <w:color w:val="auto"/>
          <w:szCs w:val="20"/>
          <w:u w:val="single"/>
          <w:lang w:eastAsia="zh-CN"/>
        </w:rPr>
        <w:t>_</w:t>
      </w:r>
      <w:r>
        <w:rPr>
          <w:rFonts w:ascii="Calibri" w:hAnsi="Calibri" w:eastAsia="宋体" w:cs="Times New Roman"/>
          <w:b/>
          <w:snapToGrid/>
          <w:color w:val="auto"/>
          <w:szCs w:val="20"/>
          <w:u w:val="single"/>
          <w:lang w:eastAsia="zh-CN"/>
        </w:rPr>
        <w:t>双方签字盖章后</w:t>
      </w:r>
      <w:r>
        <w:rPr>
          <w:rFonts w:ascii="Calibri" w:hAnsi="宋体" w:eastAsia="宋体" w:cs="Times New Roman"/>
          <w:snapToGrid/>
          <w:color w:val="auto"/>
          <w:szCs w:val="20"/>
          <w:lang w:eastAsia="zh-CN"/>
        </w:rPr>
        <w:t>生效。</w:t>
      </w:r>
    </w:p>
    <w:p w14:paraId="4E44B44E">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234" w:name="_Toc511223322"/>
      <w:bookmarkStart w:id="235" w:name="_Toc419045065"/>
      <w:bookmarkStart w:id="236" w:name="_Toc29056531"/>
      <w:bookmarkStart w:id="237" w:name="_Toc21694040"/>
      <w:bookmarkStart w:id="238" w:name="_Toc10414"/>
      <w:r>
        <w:rPr>
          <w:rFonts w:ascii="宋体" w:hAnsi="宋体" w:eastAsia="宋体" w:cs="Times New Roman"/>
          <w:b/>
          <w:snapToGrid/>
          <w:color w:val="auto"/>
          <w:lang w:eastAsia="zh-CN"/>
        </w:rPr>
        <w:t>十一、合同份数</w:t>
      </w:r>
      <w:bookmarkEnd w:id="234"/>
      <w:bookmarkEnd w:id="235"/>
      <w:bookmarkEnd w:id="236"/>
      <w:bookmarkEnd w:id="237"/>
      <w:bookmarkEnd w:id="238"/>
    </w:p>
    <w:p w14:paraId="3CC5E0FD">
      <w:pPr>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szCs w:val="20"/>
          <w:lang w:eastAsia="zh-CN"/>
        </w:rPr>
      </w:pPr>
      <w:r>
        <w:rPr>
          <w:rFonts w:ascii="Calibri" w:hAnsi="宋体" w:eastAsia="宋体" w:cs="Times New Roman"/>
          <w:snapToGrid/>
          <w:color w:val="auto"/>
          <w:szCs w:val="20"/>
          <w:lang w:eastAsia="zh-CN"/>
        </w:rPr>
        <w:t>本合同一式</w:t>
      </w:r>
      <w:r>
        <w:rPr>
          <w:rFonts w:ascii="Calibri" w:hAnsi="Calibri" w:eastAsia="宋体" w:cs="Times New Roman"/>
          <w:b/>
          <w:snapToGrid/>
          <w:color w:val="auto"/>
          <w:szCs w:val="20"/>
          <w:u w:val="single"/>
          <w:lang w:eastAsia="zh-CN"/>
        </w:rPr>
        <w:t>6</w:t>
      </w:r>
      <w:r>
        <w:rPr>
          <w:rFonts w:ascii="Calibri" w:hAnsi="宋体" w:eastAsia="宋体" w:cs="Times New Roman"/>
          <w:snapToGrid/>
          <w:color w:val="auto"/>
          <w:szCs w:val="20"/>
          <w:lang w:eastAsia="zh-CN"/>
        </w:rPr>
        <w:t>份，具有同等法律效力，其中委托人执</w:t>
      </w:r>
      <w:r>
        <w:rPr>
          <w:rFonts w:ascii="Calibri" w:hAnsi="Calibri" w:eastAsia="宋体" w:cs="Times New Roman"/>
          <w:b/>
          <w:snapToGrid/>
          <w:color w:val="auto"/>
          <w:szCs w:val="20"/>
          <w:u w:val="single"/>
          <w:lang w:eastAsia="zh-CN"/>
        </w:rPr>
        <w:t>4</w:t>
      </w:r>
      <w:r>
        <w:rPr>
          <w:rFonts w:ascii="Calibri" w:hAnsi="宋体" w:eastAsia="宋体" w:cs="Times New Roman"/>
          <w:snapToGrid/>
          <w:color w:val="auto"/>
          <w:szCs w:val="20"/>
          <w:lang w:eastAsia="zh-CN"/>
        </w:rPr>
        <w:t>份，受托人执</w:t>
      </w:r>
      <w:r>
        <w:rPr>
          <w:rFonts w:ascii="Calibri" w:hAnsi="Calibri" w:eastAsia="宋体" w:cs="Times New Roman"/>
          <w:b/>
          <w:snapToGrid/>
          <w:color w:val="auto"/>
          <w:szCs w:val="20"/>
          <w:u w:val="single"/>
          <w:lang w:eastAsia="zh-CN"/>
        </w:rPr>
        <w:t>2</w:t>
      </w:r>
      <w:r>
        <w:rPr>
          <w:rFonts w:ascii="Calibri" w:hAnsi="宋体" w:eastAsia="宋体" w:cs="Times New Roman"/>
          <w:snapToGrid/>
          <w:color w:val="auto"/>
          <w:szCs w:val="20"/>
          <w:lang w:eastAsia="zh-CN"/>
        </w:rPr>
        <w:t>份。</w:t>
      </w:r>
    </w:p>
    <w:p w14:paraId="0E551CC9">
      <w:pPr>
        <w:kinsoku/>
        <w:autoSpaceDE/>
        <w:autoSpaceDN/>
        <w:adjustRightInd/>
        <w:snapToGrid/>
        <w:spacing w:line="360" w:lineRule="auto"/>
        <w:ind w:firstLine="570"/>
        <w:textAlignment w:val="auto"/>
        <w:rPr>
          <w:rFonts w:ascii="Times New Roman" w:hAnsi="Times New Roman" w:eastAsia="宋体" w:cs="Times New Roman"/>
          <w:snapToGrid/>
          <w:color w:val="auto"/>
          <w:lang w:eastAsia="zh-CN"/>
        </w:rPr>
      </w:pPr>
    </w:p>
    <w:p w14:paraId="723DFA72">
      <w:pPr>
        <w:kinsoku/>
        <w:autoSpaceDE/>
        <w:autoSpaceDN/>
        <w:adjustRightInd/>
        <w:snapToGrid/>
        <w:spacing w:line="360" w:lineRule="auto"/>
        <w:ind w:left="420" w:leftChars="200"/>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 xml:space="preserve">委 托 人：___________（盖章）        咨 询 人：___________（盖章） </w:t>
      </w:r>
      <w:r>
        <w:rPr>
          <w:rFonts w:ascii="Calibri" w:hAnsi="宋体" w:eastAsia="宋体" w:cs="Times New Roman"/>
          <w:snapToGrid/>
          <w:color w:val="auto"/>
          <w:szCs w:val="20"/>
          <w:lang w:eastAsia="zh-CN"/>
        </w:rPr>
        <w:br w:type="textWrapping"/>
      </w:r>
      <w:r>
        <w:rPr>
          <w:rFonts w:ascii="Calibri" w:hAnsi="宋体" w:eastAsia="宋体" w:cs="Times New Roman"/>
          <w:snapToGrid/>
          <w:color w:val="auto"/>
          <w:szCs w:val="20"/>
          <w:lang w:eastAsia="zh-CN"/>
        </w:rPr>
        <w:t xml:space="preserve"> 山东济钢环保新材料有限公司          </w:t>
      </w:r>
    </w:p>
    <w:p w14:paraId="4EBDE6CB">
      <w:pPr>
        <w:kinsoku/>
        <w:autoSpaceDE/>
        <w:autoSpaceDN/>
        <w:adjustRightInd/>
        <w:snapToGrid/>
        <w:spacing w:line="360" w:lineRule="auto"/>
        <w:ind w:left="584" w:leftChars="228" w:hanging="105" w:hangingChars="50"/>
        <w:jc w:val="both"/>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法定代表人或其授权的代理人：        法定代表人或其授权的代理人：</w:t>
      </w:r>
    </w:p>
    <w:p w14:paraId="664BCB7E">
      <w:pPr>
        <w:kinsoku/>
        <w:autoSpaceDE/>
        <w:autoSpaceDN/>
        <w:adjustRightInd/>
        <w:snapToGrid/>
        <w:spacing w:line="360" w:lineRule="auto"/>
        <w:ind w:left="584" w:leftChars="228" w:hanging="105" w:hangingChars="50"/>
        <w:jc w:val="both"/>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 xml:space="preserve">（签字）                           </w:t>
      </w:r>
      <w:r>
        <w:rPr>
          <w:rFonts w:hint="eastAsia" w:ascii="Calibri" w:hAnsi="宋体" w:eastAsia="宋体" w:cs="Times New Roman"/>
          <w:snapToGrid/>
          <w:color w:val="auto"/>
          <w:szCs w:val="20"/>
          <w:lang w:eastAsia="zh-CN"/>
        </w:rPr>
        <w:t xml:space="preserve">                       </w:t>
      </w:r>
      <w:r>
        <w:rPr>
          <w:rFonts w:ascii="Calibri" w:hAnsi="宋体" w:eastAsia="宋体" w:cs="Times New Roman"/>
          <w:snapToGrid/>
          <w:color w:val="auto"/>
          <w:szCs w:val="20"/>
          <w:lang w:eastAsia="zh-CN"/>
        </w:rPr>
        <w:t xml:space="preserve">（签字）          </w:t>
      </w:r>
    </w:p>
    <w:p w14:paraId="04CA8123">
      <w:pPr>
        <w:kinsoku/>
        <w:autoSpaceDE/>
        <w:autoSpaceDN/>
        <w:adjustRightInd/>
        <w:snapToGrid/>
        <w:spacing w:line="360" w:lineRule="auto"/>
        <w:ind w:firstLine="480"/>
        <w:jc w:val="both"/>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 xml:space="preserve">住    所：                        </w:t>
      </w:r>
      <w:r>
        <w:rPr>
          <w:rFonts w:hint="eastAsia" w:ascii="Calibri" w:hAnsi="宋体" w:eastAsia="宋体" w:cs="Times New Roman"/>
          <w:snapToGrid/>
          <w:color w:val="auto"/>
          <w:szCs w:val="20"/>
          <w:lang w:eastAsia="zh-CN"/>
        </w:rPr>
        <w:t xml:space="preserve">                          </w:t>
      </w:r>
      <w:r>
        <w:rPr>
          <w:rFonts w:ascii="Calibri" w:hAnsi="宋体" w:eastAsia="宋体" w:cs="Times New Roman"/>
          <w:snapToGrid/>
          <w:color w:val="auto"/>
          <w:szCs w:val="20"/>
          <w:lang w:eastAsia="zh-CN"/>
        </w:rPr>
        <w:t xml:space="preserve">  住    所：</w:t>
      </w:r>
    </w:p>
    <w:p w14:paraId="67C8BF74">
      <w:pPr>
        <w:kinsoku/>
        <w:autoSpaceDE/>
        <w:autoSpaceDN/>
        <w:adjustRightInd/>
        <w:snapToGrid/>
        <w:spacing w:line="360" w:lineRule="auto"/>
        <w:ind w:firstLine="420" w:firstLineChars="200"/>
        <w:jc w:val="both"/>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山东省济南市章丘区官庄街道</w:t>
      </w:r>
    </w:p>
    <w:p w14:paraId="1B65B7A2">
      <w:pPr>
        <w:kinsoku/>
        <w:autoSpaceDE/>
        <w:autoSpaceDN/>
        <w:adjustRightInd/>
        <w:snapToGrid/>
        <w:spacing w:line="360" w:lineRule="auto"/>
        <w:ind w:firstLine="420" w:firstLineChars="200"/>
        <w:jc w:val="both"/>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 xml:space="preserve">账    号：609055119               </w:t>
      </w:r>
      <w:r>
        <w:rPr>
          <w:rFonts w:hint="eastAsia" w:ascii="Calibri" w:hAnsi="宋体" w:eastAsia="宋体" w:cs="Times New Roman"/>
          <w:snapToGrid/>
          <w:color w:val="auto"/>
          <w:szCs w:val="20"/>
          <w:lang w:eastAsia="zh-CN"/>
        </w:rPr>
        <w:t xml:space="preserve">                  </w:t>
      </w:r>
      <w:r>
        <w:rPr>
          <w:rFonts w:ascii="Calibri" w:hAnsi="宋体" w:eastAsia="宋体" w:cs="Times New Roman"/>
          <w:snapToGrid/>
          <w:color w:val="auto"/>
          <w:szCs w:val="20"/>
          <w:lang w:eastAsia="zh-CN"/>
        </w:rPr>
        <w:t xml:space="preserve">  账    号：</w:t>
      </w:r>
    </w:p>
    <w:p w14:paraId="28428A4F">
      <w:pPr>
        <w:kinsoku/>
        <w:autoSpaceDE/>
        <w:autoSpaceDN/>
        <w:adjustRightInd/>
        <w:snapToGrid/>
        <w:spacing w:line="360" w:lineRule="auto"/>
        <w:ind w:firstLine="420" w:firstLineChars="200"/>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开户银行：中国民生银行济南章丘支行  开户银行：</w:t>
      </w:r>
      <w:r>
        <w:rPr>
          <w:rFonts w:hint="eastAsia" w:ascii="Calibri" w:hAnsi="宋体" w:eastAsia="宋体" w:cs="Times New Roman"/>
          <w:snapToGrid/>
          <w:color w:val="auto"/>
          <w:szCs w:val="20"/>
          <w:lang w:eastAsia="zh-CN"/>
        </w:rPr>
        <w:t xml:space="preserve"> </w:t>
      </w:r>
      <w:r>
        <w:rPr>
          <w:rFonts w:ascii="Calibri" w:hAnsi="宋体" w:eastAsia="宋体" w:cs="Times New Roman"/>
          <w:snapToGrid/>
          <w:color w:val="auto"/>
          <w:szCs w:val="20"/>
          <w:lang w:eastAsia="zh-CN"/>
        </w:rPr>
        <w:t xml:space="preserve"> </w:t>
      </w:r>
    </w:p>
    <w:p w14:paraId="1BC0C4FB">
      <w:pPr>
        <w:kinsoku/>
        <w:autoSpaceDE/>
        <w:autoSpaceDN/>
        <w:adjustRightInd/>
        <w:snapToGrid/>
        <w:spacing w:line="360" w:lineRule="auto"/>
        <w:ind w:firstLine="420" w:firstLineChars="200"/>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邮政编码：250109                    邮政编码：</w:t>
      </w:r>
    </w:p>
    <w:p w14:paraId="4D518136">
      <w:pPr>
        <w:kinsoku/>
        <w:autoSpaceDE/>
        <w:autoSpaceDN/>
        <w:adjustRightInd/>
        <w:snapToGrid/>
        <w:spacing w:line="360" w:lineRule="auto"/>
        <w:ind w:firstLine="420" w:firstLineChars="200"/>
        <w:textAlignment w:val="auto"/>
        <w:rPr>
          <w:rFonts w:hint="eastAsia" w:ascii="Calibri" w:hAnsi="宋体" w:eastAsia="宋体" w:cs="Times New Roman"/>
          <w:snapToGrid/>
          <w:color w:val="auto"/>
          <w:szCs w:val="20"/>
          <w:lang w:eastAsia="zh-CN"/>
        </w:rPr>
      </w:pPr>
      <w:r>
        <w:rPr>
          <w:rFonts w:ascii="Calibri" w:hAnsi="宋体" w:eastAsia="宋体" w:cs="Times New Roman"/>
          <w:snapToGrid/>
          <w:color w:val="auto"/>
          <w:szCs w:val="20"/>
          <w:lang w:eastAsia="zh-CN"/>
        </w:rPr>
        <w:t>电    话：0531-83790165             电    话：</w:t>
      </w:r>
      <w:r>
        <w:rPr>
          <w:rFonts w:hint="eastAsia" w:ascii="Calibri" w:hAnsi="宋体" w:eastAsia="宋体" w:cs="Times New Roman"/>
          <w:snapToGrid/>
          <w:color w:val="auto"/>
          <w:szCs w:val="20"/>
          <w:lang w:eastAsia="zh-CN"/>
        </w:rPr>
        <w:br w:type="page"/>
      </w:r>
    </w:p>
    <w:p w14:paraId="33FD7193">
      <w:pPr>
        <w:widowControl w:val="0"/>
        <w:kinsoku/>
        <w:autoSpaceDE/>
        <w:autoSpaceDN/>
        <w:adjustRightInd/>
        <w:snapToGrid/>
        <w:spacing w:before="340" w:after="331"/>
        <w:jc w:val="center"/>
        <w:textAlignment w:val="auto"/>
        <w:outlineLvl w:val="0"/>
        <w:rPr>
          <w:rFonts w:hint="eastAsia" w:ascii="宋体" w:hAnsi="宋体" w:eastAsia="宋体" w:cs="Times New Roman"/>
          <w:b/>
          <w:snapToGrid/>
          <w:color w:val="auto"/>
          <w:lang w:eastAsia="zh-CN"/>
        </w:rPr>
      </w:pPr>
      <w:bookmarkStart w:id="239" w:name="_Toc28338"/>
      <w:r>
        <w:rPr>
          <w:rFonts w:ascii="宋体" w:hAnsi="宋体" w:eastAsia="宋体" w:cs="Times New Roman"/>
          <w:b/>
          <w:snapToGrid/>
          <w:color w:val="auto"/>
          <w:lang w:eastAsia="zh-CN"/>
        </w:rPr>
        <w:t>第二部分　通用条件</w:t>
      </w:r>
      <w:bookmarkEnd w:id="239"/>
    </w:p>
    <w:p w14:paraId="1CFAE8B3">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240" w:name="_Toc498244062"/>
      <w:bookmarkStart w:id="241" w:name="_Toc498241116"/>
      <w:bookmarkStart w:id="242" w:name="_Toc422322482"/>
      <w:bookmarkStart w:id="243" w:name="_Toc498246424"/>
      <w:bookmarkStart w:id="244" w:name="_Toc419045067"/>
      <w:bookmarkStart w:id="245" w:name="_Toc498430451"/>
      <w:r>
        <w:rPr>
          <w:rFonts w:ascii="Cambria" w:hAnsi="Cambria" w:eastAsia="宋体" w:cs="Times New Roman"/>
          <w:b/>
          <w:bCs/>
          <w:snapToGrid/>
          <w:color w:val="auto"/>
          <w:kern w:val="2"/>
          <w:sz w:val="24"/>
          <w:szCs w:val="24"/>
          <w:lang w:eastAsia="zh-CN"/>
        </w:rPr>
        <w:t>1.词语定义、语言、解释顺序与适用法律</w:t>
      </w:r>
      <w:bookmarkEnd w:id="240"/>
      <w:bookmarkEnd w:id="241"/>
      <w:bookmarkEnd w:id="242"/>
      <w:bookmarkEnd w:id="243"/>
      <w:bookmarkEnd w:id="244"/>
      <w:bookmarkEnd w:id="245"/>
    </w:p>
    <w:p w14:paraId="60BDDBC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246" w:name="_Toc498246425"/>
      <w:bookmarkStart w:id="247" w:name="_Toc419045068"/>
      <w:bookmarkStart w:id="248" w:name="_Toc498244063"/>
      <w:bookmarkStart w:id="249" w:name="_Toc498241117"/>
      <w:bookmarkStart w:id="250" w:name="_Toc498430452"/>
      <w:bookmarkStart w:id="251" w:name="_Toc422322483"/>
      <w:r>
        <w:rPr>
          <w:rFonts w:ascii="Calibri" w:hAnsi="宋体" w:eastAsia="宋体" w:cs="Times New Roman"/>
          <w:snapToGrid/>
          <w:color w:val="auto"/>
          <w:kern w:val="2"/>
          <w:lang w:eastAsia="zh-CN"/>
        </w:rPr>
        <w:t>1.1词语定义</w:t>
      </w:r>
      <w:bookmarkEnd w:id="246"/>
      <w:bookmarkEnd w:id="247"/>
      <w:bookmarkEnd w:id="248"/>
      <w:bookmarkEnd w:id="249"/>
      <w:bookmarkEnd w:id="250"/>
      <w:bookmarkEnd w:id="251"/>
    </w:p>
    <w:p w14:paraId="6EA4C5A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组成本合同的全部文件中的下列名词和用语应具有本款所赋予的含义：</w:t>
      </w:r>
    </w:p>
    <w:p w14:paraId="678C242B">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 xml:space="preserve">1.1.1“工程”是指按照本合同约定实施造价咨询与其他服务的建设工程。 </w:t>
      </w:r>
    </w:p>
    <w:p w14:paraId="423F23C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1.1.2“工程造价”是指工程项目建设过程中预计或实际支出的全部费用。</w:t>
      </w:r>
    </w:p>
    <w:p w14:paraId="0B4D802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1.1.3“委托人”是指本合同中委托造价咨询与其他服务的一方，及其合法的继承人或受让人。</w:t>
      </w:r>
    </w:p>
    <w:p w14:paraId="373A751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1.1.4“受托人”是指本合同中提供造价咨询与其他服务的一方，及其合法的继承人。</w:t>
      </w:r>
    </w:p>
    <w:p w14:paraId="58A9F4A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1.1.5“第三人”是指除委托人、受托人以外与本咨询业务有关的当事人。</w:t>
      </w:r>
    </w:p>
    <w:p w14:paraId="0B1B7E9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1.1.6“正常工作”是指本合同订立时通用条件和专用条件中约定的受托人的工作。</w:t>
      </w:r>
    </w:p>
    <w:p w14:paraId="38D42B1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1.1.7“附加工作”是指受托人根据合同条件完成的正常工作以外的工作。</w:t>
      </w:r>
    </w:p>
    <w:p w14:paraId="3E86E39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1.1.8“项目咨询团队”是指受托人指派负责履行本合同的团队，其团队成员为本合同的项目受托人员。</w:t>
      </w:r>
    </w:p>
    <w:p w14:paraId="57D5A21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1.1.9“项目负责人”是指由受托人的法定代表人书面授权，在授权范围内负责履行本合同、主持项目咨询团队工作的负责人。</w:t>
      </w:r>
    </w:p>
    <w:p w14:paraId="39B954A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1.1.10“委托人代表”是指由委托人的法定代表人书面授权，在授权范围内行使委托人权利的人。</w:t>
      </w:r>
    </w:p>
    <w:p w14:paraId="15F273C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1.1.11“酬金”是指受托人履行本合同义务，委托人按照本合同约定给付受托人的金额。</w:t>
      </w:r>
    </w:p>
    <w:p w14:paraId="114F4CB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1.1.12“正常工作酬金”是指在协议书中载明的，受托人完成正常工作，委托人应给付受托人的酬金。</w:t>
      </w:r>
    </w:p>
    <w:p w14:paraId="2A3FCD2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1.1.13“附加工作酬金”是指受托人完成附加工作，委托人应给付受托人的酬金。</w:t>
      </w:r>
    </w:p>
    <w:p w14:paraId="6CADE02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1.1.14 “书面形式”是指合同书、信件和数据电文（包括电报、电传、传真、电子数据交换和电子邮件）等可以有形地表现所载内容的形式。</w:t>
      </w:r>
    </w:p>
    <w:p w14:paraId="657D1E9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1.1.15 “不可抗力”是指委托人和受托人在订立本合同时不可预见，在合同履行过程中不可避免并不能克服的自然灾害和社会性突发事件，如地震、海啸、瘟疫、水灾、骚乱、暴动、战争等情形。</w:t>
      </w:r>
    </w:p>
    <w:p w14:paraId="0C0B92C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252" w:name="_Toc498430453"/>
      <w:bookmarkStart w:id="253" w:name="_Toc498244064"/>
      <w:bookmarkStart w:id="254" w:name="_Toc498246426"/>
      <w:bookmarkStart w:id="255" w:name="_Toc419045069"/>
      <w:bookmarkStart w:id="256" w:name="_Toc422322484"/>
      <w:bookmarkStart w:id="257" w:name="_Toc498241118"/>
      <w:r>
        <w:rPr>
          <w:rFonts w:ascii="Calibri" w:hAnsi="宋体" w:eastAsia="宋体" w:cs="Times New Roman"/>
          <w:snapToGrid/>
          <w:color w:val="auto"/>
          <w:kern w:val="2"/>
          <w:lang w:eastAsia="zh-CN"/>
        </w:rPr>
        <w:t>1.2语言</w:t>
      </w:r>
      <w:bookmarkEnd w:id="252"/>
      <w:bookmarkEnd w:id="253"/>
      <w:bookmarkEnd w:id="254"/>
      <w:bookmarkEnd w:id="255"/>
      <w:bookmarkEnd w:id="256"/>
      <w:bookmarkEnd w:id="257"/>
    </w:p>
    <w:p w14:paraId="330987F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本合同使用中文书写、解释和说明。如专用条件约定使用两种及以上语言文字时，应以中文为准。</w:t>
      </w:r>
    </w:p>
    <w:p w14:paraId="0FB1319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258" w:name="_Toc498430454"/>
      <w:bookmarkStart w:id="259" w:name="_Toc422322485"/>
      <w:bookmarkStart w:id="260" w:name="_Toc419045070"/>
      <w:bookmarkStart w:id="261" w:name="_Toc498246427"/>
      <w:bookmarkStart w:id="262" w:name="_Toc498244065"/>
      <w:bookmarkStart w:id="263" w:name="_Toc498241119"/>
      <w:r>
        <w:rPr>
          <w:rFonts w:ascii="Calibri" w:hAnsi="宋体" w:eastAsia="宋体" w:cs="Times New Roman"/>
          <w:snapToGrid/>
          <w:color w:val="auto"/>
          <w:kern w:val="2"/>
          <w:lang w:eastAsia="zh-CN"/>
        </w:rPr>
        <w:t>1.3合同文件的优先顺序</w:t>
      </w:r>
      <w:bookmarkEnd w:id="258"/>
      <w:bookmarkEnd w:id="259"/>
      <w:bookmarkEnd w:id="260"/>
      <w:bookmarkEnd w:id="261"/>
      <w:bookmarkEnd w:id="262"/>
      <w:bookmarkEnd w:id="263"/>
    </w:p>
    <w:p w14:paraId="1BC8768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组成本合同的下列文件彼此应能相互解释、互为说明。除专用条件另有约定外，本合同文件的解释顺序如下：</w:t>
      </w:r>
    </w:p>
    <w:p w14:paraId="7477D88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1.协议书</w:t>
      </w:r>
    </w:p>
    <w:p w14:paraId="34B9C74C">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2.中标通知书或委托书（如果有）；</w:t>
      </w:r>
    </w:p>
    <w:p w14:paraId="561F80F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3.专用条件及附录；</w:t>
      </w:r>
    </w:p>
    <w:p w14:paraId="11A3026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4.通用条件；</w:t>
      </w:r>
    </w:p>
    <w:p w14:paraId="359F391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5.投标函及投标函附录或造价咨询服务建议书（如果有）；</w:t>
      </w:r>
    </w:p>
    <w:p w14:paraId="385E699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6.其他合同文件。</w:t>
      </w:r>
    </w:p>
    <w:p w14:paraId="1904D8B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上述各项合同文件包括合同当事人就该项合同文件所作出的补充和修改，属于同一类内容的文件，应以最新签署的为准。</w:t>
      </w:r>
    </w:p>
    <w:p w14:paraId="69F998D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在合同订立及履行过程中形成的与合同有关的文件均构成合同文件的组成部分。</w:t>
      </w:r>
    </w:p>
    <w:p w14:paraId="2768BC0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264" w:name="_Toc498241120"/>
      <w:bookmarkStart w:id="265" w:name="_Toc498244066"/>
      <w:bookmarkStart w:id="266" w:name="_Toc422322486"/>
      <w:bookmarkStart w:id="267" w:name="_Toc498246428"/>
      <w:bookmarkStart w:id="268" w:name="_Toc419045071"/>
      <w:bookmarkStart w:id="269" w:name="_Toc498430455"/>
      <w:r>
        <w:rPr>
          <w:rFonts w:ascii="Calibri" w:hAnsi="宋体" w:eastAsia="宋体" w:cs="Times New Roman"/>
          <w:snapToGrid/>
          <w:color w:val="auto"/>
          <w:kern w:val="2"/>
          <w:lang w:eastAsia="zh-CN"/>
        </w:rPr>
        <w:t>1.4适用法律</w:t>
      </w:r>
      <w:bookmarkEnd w:id="264"/>
      <w:bookmarkEnd w:id="265"/>
      <w:bookmarkEnd w:id="266"/>
      <w:bookmarkEnd w:id="267"/>
      <w:bookmarkEnd w:id="268"/>
      <w:bookmarkEnd w:id="269"/>
    </w:p>
    <w:p w14:paraId="78024F8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本合同适用中华人民共和国法律、行政法规、部门规章以及工程所在地的地方性法规、自治条例、单行条例和地方政府规章等。</w:t>
      </w:r>
    </w:p>
    <w:p w14:paraId="0BB1D8F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
          <w:bCs/>
          <w:snapToGrid/>
          <w:color w:val="auto"/>
          <w:kern w:val="2"/>
          <w:lang w:eastAsia="zh-CN"/>
        </w:rPr>
      </w:pPr>
      <w:r>
        <w:rPr>
          <w:rFonts w:ascii="Calibri" w:hAnsi="宋体" w:eastAsia="宋体" w:cs="Times New Roman"/>
          <w:snapToGrid/>
          <w:color w:val="auto"/>
          <w:kern w:val="2"/>
          <w:lang w:eastAsia="zh-CN"/>
        </w:rPr>
        <w:t>合同当事人可以在专用条件中约定本合同适用的其他规范、规程、定额、技术标准等规范性文件。</w:t>
      </w:r>
    </w:p>
    <w:p w14:paraId="40DD5D5D">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270" w:name="_Toc498430456"/>
      <w:bookmarkStart w:id="271" w:name="_Toc498244067"/>
      <w:bookmarkStart w:id="272" w:name="_Toc498246429"/>
      <w:bookmarkStart w:id="273" w:name="_Toc498241121"/>
      <w:bookmarkStart w:id="274" w:name="_Toc422322487"/>
      <w:r>
        <w:rPr>
          <w:rFonts w:ascii="Cambria" w:hAnsi="Cambria" w:eastAsia="宋体" w:cs="Times New Roman"/>
          <w:b/>
          <w:bCs/>
          <w:snapToGrid/>
          <w:color w:val="auto"/>
          <w:kern w:val="2"/>
          <w:sz w:val="24"/>
          <w:szCs w:val="24"/>
          <w:lang w:eastAsia="zh-CN"/>
        </w:rPr>
        <w:t>2.委托人的义务</w:t>
      </w:r>
      <w:bookmarkEnd w:id="270"/>
      <w:bookmarkEnd w:id="271"/>
      <w:bookmarkEnd w:id="272"/>
      <w:bookmarkEnd w:id="273"/>
      <w:bookmarkEnd w:id="274"/>
    </w:p>
    <w:p w14:paraId="0753864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275" w:name="_Toc419045072"/>
      <w:bookmarkStart w:id="276" w:name="_Toc498246430"/>
      <w:bookmarkStart w:id="277" w:name="_Toc498430457"/>
      <w:bookmarkStart w:id="278" w:name="_Toc498244068"/>
      <w:bookmarkStart w:id="279" w:name="_Toc498241122"/>
      <w:bookmarkStart w:id="280" w:name="_Toc422322488"/>
      <w:r>
        <w:rPr>
          <w:rFonts w:ascii="Calibri" w:hAnsi="宋体" w:eastAsia="宋体" w:cs="Times New Roman"/>
          <w:snapToGrid/>
          <w:color w:val="auto"/>
          <w:kern w:val="2"/>
          <w:lang w:eastAsia="zh-CN"/>
        </w:rPr>
        <w:t>2.1提供资料</w:t>
      </w:r>
      <w:bookmarkEnd w:id="275"/>
      <w:bookmarkEnd w:id="276"/>
      <w:bookmarkEnd w:id="277"/>
      <w:bookmarkEnd w:id="278"/>
      <w:bookmarkEnd w:id="279"/>
      <w:bookmarkEnd w:id="280"/>
    </w:p>
    <w:p w14:paraId="2A528B2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委托人应当在专用条件约定的时间内，按照约定无偿向受托人提供与本合同咨询业务有关的资料。在本合同履行过程中，委托人应及时向受托人提供最新的与本合同咨询业务有关的资料。委托人应对所提供资料的真实性、准确性、合法性与完整性负责。</w:t>
      </w:r>
    </w:p>
    <w:p w14:paraId="3BB08C8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281" w:name="_Toc419045073"/>
      <w:bookmarkStart w:id="282" w:name="_Toc498246431"/>
      <w:bookmarkStart w:id="283" w:name="_Toc498241123"/>
      <w:bookmarkStart w:id="284" w:name="_Toc498244069"/>
      <w:bookmarkStart w:id="285" w:name="_Toc498430458"/>
      <w:bookmarkStart w:id="286" w:name="_Toc422322489"/>
      <w:r>
        <w:rPr>
          <w:rFonts w:ascii="Calibri" w:hAnsi="宋体" w:eastAsia="宋体" w:cs="Times New Roman"/>
          <w:snapToGrid/>
          <w:color w:val="auto"/>
          <w:kern w:val="2"/>
          <w:lang w:eastAsia="zh-CN"/>
        </w:rPr>
        <w:t>2.2提供工作条件</w:t>
      </w:r>
      <w:bookmarkEnd w:id="281"/>
      <w:bookmarkEnd w:id="282"/>
      <w:bookmarkEnd w:id="283"/>
      <w:bookmarkEnd w:id="284"/>
      <w:bookmarkEnd w:id="285"/>
      <w:bookmarkEnd w:id="286"/>
    </w:p>
    <w:p w14:paraId="7F0C674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委托人应为受托人完成造价咨询提供必要的条件。</w:t>
      </w:r>
    </w:p>
    <w:p w14:paraId="19E29371">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szCs w:val="20"/>
          <w:lang w:eastAsia="zh-CN"/>
        </w:rPr>
      </w:pPr>
      <w:r>
        <w:rPr>
          <w:rFonts w:ascii="Calibri" w:hAnsi="Calibri" w:eastAsia="宋体" w:cs="Times New Roman"/>
          <w:snapToGrid/>
          <w:color w:val="auto"/>
          <w:kern w:val="2"/>
          <w:szCs w:val="20"/>
          <w:lang w:eastAsia="zh-CN"/>
        </w:rPr>
        <w:t>2.2.1委托人需要受托人派驻项目现场受托人员的，除专用条件另有约定外，项目受托人员有权无偿使用由委托人提供的房屋及设备。</w:t>
      </w:r>
    </w:p>
    <w:p w14:paraId="243F13B8">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szCs w:val="20"/>
          <w:lang w:eastAsia="zh-CN"/>
        </w:rPr>
      </w:pPr>
      <w:r>
        <w:rPr>
          <w:rFonts w:ascii="Calibri" w:hAnsi="Calibri" w:eastAsia="宋体" w:cs="Times New Roman"/>
          <w:snapToGrid/>
          <w:color w:val="auto"/>
          <w:kern w:val="2"/>
          <w:szCs w:val="20"/>
          <w:lang w:eastAsia="zh-CN"/>
        </w:rPr>
        <w:t>2.2.2委托人应负责与本工程造价咨询业务有关的所有外部关系的协调，为受托人履行本合同提供必要的外部条件。</w:t>
      </w:r>
    </w:p>
    <w:p w14:paraId="22E44021">
      <w:pPr>
        <w:kinsoku/>
        <w:autoSpaceDE/>
        <w:autoSpaceDN/>
        <w:adjustRightInd/>
        <w:snapToGrid/>
        <w:spacing w:before="60" w:after="60" w:line="312" w:lineRule="auto"/>
        <w:ind w:firstLine="480" w:firstLineChars="200"/>
        <w:textAlignment w:val="auto"/>
        <w:outlineLvl w:val="1"/>
        <w:rPr>
          <w:rFonts w:hint="eastAsia" w:ascii="宋体" w:hAnsi="宋体" w:eastAsia="宋体" w:cs="Times New Roman"/>
          <w:bCs/>
          <w:snapToGrid/>
          <w:color w:val="auto"/>
          <w:kern w:val="28"/>
          <w:sz w:val="24"/>
          <w:szCs w:val="24"/>
          <w:lang w:eastAsia="zh-CN"/>
        </w:rPr>
      </w:pPr>
      <w:bookmarkStart w:id="287" w:name="_Toc498241124"/>
      <w:bookmarkStart w:id="288" w:name="_Toc498246432"/>
      <w:bookmarkStart w:id="289" w:name="_Toc498430459"/>
      <w:bookmarkStart w:id="290" w:name="_Toc422322490"/>
      <w:bookmarkStart w:id="291" w:name="_Toc498244070"/>
      <w:bookmarkStart w:id="292" w:name="_Toc419045074"/>
      <w:r>
        <w:rPr>
          <w:rFonts w:ascii="宋体" w:hAnsi="宋体" w:eastAsia="宋体" w:cs="Times New Roman"/>
          <w:bCs/>
          <w:snapToGrid/>
          <w:color w:val="auto"/>
          <w:kern w:val="28"/>
          <w:sz w:val="24"/>
          <w:szCs w:val="24"/>
          <w:lang w:eastAsia="zh-CN"/>
        </w:rPr>
        <w:t>2.3合理工作时限</w:t>
      </w:r>
      <w:bookmarkEnd w:id="287"/>
      <w:bookmarkEnd w:id="288"/>
      <w:bookmarkEnd w:id="289"/>
      <w:bookmarkEnd w:id="290"/>
      <w:bookmarkEnd w:id="291"/>
      <w:bookmarkEnd w:id="292"/>
    </w:p>
    <w:p w14:paraId="297CF400">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szCs w:val="20"/>
          <w:lang w:eastAsia="zh-CN"/>
        </w:rPr>
      </w:pPr>
      <w:r>
        <w:rPr>
          <w:rFonts w:ascii="Calibri" w:hAnsi="Calibri" w:eastAsia="宋体" w:cs="Times New Roman"/>
          <w:snapToGrid/>
          <w:color w:val="auto"/>
          <w:kern w:val="2"/>
          <w:szCs w:val="20"/>
          <w:lang w:eastAsia="zh-CN"/>
        </w:rPr>
        <w:t>委托人应当为受托人完成其咨询工作，设定合理的工作时限。</w:t>
      </w:r>
    </w:p>
    <w:p w14:paraId="39A97ED0">
      <w:pPr>
        <w:kinsoku/>
        <w:autoSpaceDE/>
        <w:autoSpaceDN/>
        <w:adjustRightInd/>
        <w:snapToGrid/>
        <w:spacing w:before="60" w:after="60" w:line="312" w:lineRule="auto"/>
        <w:ind w:firstLine="480" w:firstLineChars="200"/>
        <w:textAlignment w:val="auto"/>
        <w:outlineLvl w:val="1"/>
        <w:rPr>
          <w:rFonts w:hint="eastAsia" w:ascii="宋体" w:hAnsi="宋体" w:eastAsia="宋体" w:cs="Times New Roman"/>
          <w:bCs/>
          <w:snapToGrid/>
          <w:color w:val="auto"/>
          <w:kern w:val="28"/>
          <w:sz w:val="24"/>
          <w:szCs w:val="24"/>
          <w:lang w:eastAsia="zh-CN"/>
        </w:rPr>
      </w:pPr>
      <w:bookmarkStart w:id="293" w:name="_Toc419045075"/>
      <w:bookmarkStart w:id="294" w:name="_Toc498241125"/>
      <w:bookmarkStart w:id="295" w:name="_Toc498246433"/>
      <w:bookmarkStart w:id="296" w:name="_Toc498430460"/>
      <w:bookmarkStart w:id="297" w:name="_Toc422322491"/>
      <w:bookmarkStart w:id="298" w:name="_Toc498244071"/>
      <w:r>
        <w:rPr>
          <w:rFonts w:ascii="宋体" w:hAnsi="宋体" w:eastAsia="宋体" w:cs="Times New Roman"/>
          <w:bCs/>
          <w:snapToGrid/>
          <w:color w:val="auto"/>
          <w:kern w:val="28"/>
          <w:sz w:val="24"/>
          <w:szCs w:val="24"/>
          <w:lang w:eastAsia="zh-CN"/>
        </w:rPr>
        <w:t>2.4委托人代表</w:t>
      </w:r>
      <w:bookmarkEnd w:id="293"/>
      <w:bookmarkEnd w:id="294"/>
      <w:bookmarkEnd w:id="295"/>
      <w:bookmarkEnd w:id="296"/>
      <w:bookmarkEnd w:id="297"/>
      <w:bookmarkEnd w:id="298"/>
    </w:p>
    <w:p w14:paraId="3672D119">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szCs w:val="20"/>
          <w:lang w:eastAsia="zh-CN"/>
        </w:rPr>
      </w:pPr>
      <w:r>
        <w:rPr>
          <w:rFonts w:ascii="Calibri" w:hAnsi="Calibri" w:eastAsia="宋体" w:cs="Times New Roman"/>
          <w:snapToGrid/>
          <w:color w:val="auto"/>
          <w:kern w:val="2"/>
          <w:szCs w:val="20"/>
          <w:lang w:eastAsia="zh-CN"/>
        </w:rPr>
        <w:t>委托人应授权一名代表负责本合同的履行。委托人应在双方签订本合同7日内，将委托人代表的姓名和权限范围书面告知受托人。委托人更换委托人代表时，应提前7日书面通知受托人。</w:t>
      </w:r>
    </w:p>
    <w:p w14:paraId="6DCC764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299" w:name="_Toc498430461"/>
      <w:bookmarkStart w:id="300" w:name="_Toc498246434"/>
      <w:bookmarkStart w:id="301" w:name="_Toc422322492"/>
      <w:bookmarkStart w:id="302" w:name="_Toc498241126"/>
      <w:bookmarkStart w:id="303" w:name="_Toc498244072"/>
      <w:bookmarkStart w:id="304" w:name="_Toc419045076"/>
      <w:r>
        <w:rPr>
          <w:rFonts w:ascii="Calibri" w:hAnsi="宋体" w:eastAsia="宋体" w:cs="Times New Roman"/>
          <w:snapToGrid/>
          <w:color w:val="auto"/>
          <w:kern w:val="2"/>
          <w:lang w:eastAsia="zh-CN"/>
        </w:rPr>
        <w:t>2.5答复</w:t>
      </w:r>
      <w:bookmarkEnd w:id="299"/>
      <w:bookmarkEnd w:id="300"/>
      <w:bookmarkEnd w:id="301"/>
      <w:bookmarkEnd w:id="302"/>
      <w:bookmarkEnd w:id="303"/>
      <w:bookmarkEnd w:id="304"/>
    </w:p>
    <w:p w14:paraId="57E1BB6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委托人应当在专用条件约定的时间内就受托人以书面形式提交并要求做出答复的事宜给予书面答复。逾期未答复的，由此造成的工作延误和损失由委托人承担。</w:t>
      </w:r>
    </w:p>
    <w:p w14:paraId="09E07C1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05" w:name="_Toc422322493"/>
      <w:bookmarkStart w:id="306" w:name="_Toc498241127"/>
      <w:bookmarkStart w:id="307" w:name="_Toc419045077"/>
      <w:bookmarkStart w:id="308" w:name="_Toc498246435"/>
      <w:bookmarkStart w:id="309" w:name="_Toc498430462"/>
      <w:bookmarkStart w:id="310" w:name="_Toc498244073"/>
      <w:r>
        <w:rPr>
          <w:rFonts w:ascii="Calibri" w:hAnsi="宋体" w:eastAsia="宋体" w:cs="Times New Roman"/>
          <w:snapToGrid/>
          <w:color w:val="auto"/>
          <w:kern w:val="2"/>
          <w:lang w:eastAsia="zh-CN"/>
        </w:rPr>
        <w:t>2.6支付</w:t>
      </w:r>
      <w:bookmarkEnd w:id="305"/>
      <w:bookmarkEnd w:id="306"/>
      <w:bookmarkEnd w:id="307"/>
      <w:bookmarkEnd w:id="308"/>
      <w:bookmarkEnd w:id="309"/>
      <w:bookmarkEnd w:id="310"/>
    </w:p>
    <w:p w14:paraId="04059EB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委托人应当按照合同的约定，向受托人支付酬金。</w:t>
      </w:r>
    </w:p>
    <w:p w14:paraId="66A62E23">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311" w:name="_Toc419045078"/>
      <w:bookmarkStart w:id="312" w:name="_Toc498430463"/>
      <w:bookmarkStart w:id="313" w:name="_Toc498246436"/>
      <w:bookmarkStart w:id="314" w:name="_Toc498241128"/>
      <w:bookmarkStart w:id="315" w:name="_Toc422322494"/>
      <w:bookmarkStart w:id="316" w:name="_Toc498244074"/>
      <w:r>
        <w:rPr>
          <w:rFonts w:ascii="Cambria" w:hAnsi="Cambria" w:eastAsia="宋体" w:cs="Times New Roman"/>
          <w:b/>
          <w:bCs/>
          <w:snapToGrid/>
          <w:color w:val="auto"/>
          <w:kern w:val="2"/>
          <w:sz w:val="24"/>
          <w:szCs w:val="24"/>
          <w:lang w:eastAsia="zh-CN"/>
        </w:rPr>
        <w:t>3.受托人的义务</w:t>
      </w:r>
      <w:bookmarkEnd w:id="311"/>
      <w:bookmarkEnd w:id="312"/>
      <w:bookmarkEnd w:id="313"/>
      <w:bookmarkEnd w:id="314"/>
      <w:bookmarkEnd w:id="315"/>
      <w:bookmarkEnd w:id="316"/>
    </w:p>
    <w:p w14:paraId="1044F14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17" w:name="_Toc498244075"/>
      <w:bookmarkStart w:id="318" w:name="_Toc498430464"/>
      <w:bookmarkStart w:id="319" w:name="_Toc422322495"/>
      <w:bookmarkStart w:id="320" w:name="_Toc498241129"/>
      <w:bookmarkStart w:id="321" w:name="_Toc498246437"/>
      <w:bookmarkStart w:id="322" w:name="_Toc419045080"/>
      <w:bookmarkStart w:id="323" w:name="16"/>
      <w:r>
        <w:rPr>
          <w:rFonts w:ascii="Calibri" w:hAnsi="宋体" w:eastAsia="宋体" w:cs="Times New Roman"/>
          <w:snapToGrid/>
          <w:color w:val="auto"/>
          <w:kern w:val="2"/>
          <w:lang w:eastAsia="zh-CN"/>
        </w:rPr>
        <w:t>3.1 项目咨询团队及人员</w:t>
      </w:r>
      <w:bookmarkEnd w:id="317"/>
      <w:bookmarkEnd w:id="318"/>
      <w:bookmarkEnd w:id="319"/>
      <w:bookmarkEnd w:id="320"/>
      <w:bookmarkEnd w:id="321"/>
      <w:bookmarkEnd w:id="322"/>
    </w:p>
    <w:p w14:paraId="3FE7D36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3.1.1项目咨询团队的主要人员应具有专用条件约定的资格条件，团队人员的数量应符合专用条件的约定。</w:t>
      </w:r>
    </w:p>
    <w:p w14:paraId="3BA513B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3.1.2项目负责人</w:t>
      </w:r>
    </w:p>
    <w:p w14:paraId="46F3424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受托人应以书面形式授权一名项目负责人负责履行本合同、主持项目咨询团队工作。采用招标程序签署本合同的，项目负责人应当与投标文件载明的一致。</w:t>
      </w:r>
    </w:p>
    <w:p w14:paraId="7D41967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3.1.3在本合同履行过程中，受托人员应保持相对稳定，以保证咨询工作正常进行。</w:t>
      </w:r>
    </w:p>
    <w:p w14:paraId="58367826">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受托人可根据工程进展和工作需要等情形调整项目咨询团队人员。受托人更换项目负责人时，应提前7日向委托人书面报告，经委托人同意后方可更换。除专用条件另有约定外，受托人更换项目咨询团队其他受托人员，应提前3日向委托人书面报告，经委托人同意后以相当资格与能力的人员替换。</w:t>
      </w:r>
    </w:p>
    <w:p w14:paraId="3CAC1BB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3.1.4受托人员有下列情形之一，委托人要求受托人更换的，受托人应当更换：</w:t>
      </w:r>
    </w:p>
    <w:p w14:paraId="31AF905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（1）存在严重过失行为的；</w:t>
      </w:r>
    </w:p>
    <w:p w14:paraId="3740820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（2）存在违法行为不能履行职责的；</w:t>
      </w:r>
    </w:p>
    <w:p w14:paraId="40C8A05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（3）涉嫌犯罪的；</w:t>
      </w:r>
    </w:p>
    <w:p w14:paraId="6BBB9E4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（4）不能胜任岗位职责的；</w:t>
      </w:r>
    </w:p>
    <w:p w14:paraId="17B46CA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（5）严重违反职业道德的；</w:t>
      </w:r>
    </w:p>
    <w:p w14:paraId="7FBA02FC">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（6）专用条件约定的其他情形。</w:t>
      </w:r>
    </w:p>
    <w:p w14:paraId="1E116B1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24" w:name="_Toc498246438"/>
      <w:bookmarkStart w:id="325" w:name="_Toc498244076"/>
      <w:bookmarkStart w:id="326" w:name="_Toc498241130"/>
      <w:bookmarkStart w:id="327" w:name="_Toc498430465"/>
      <w:bookmarkStart w:id="328" w:name="_Toc422322496"/>
      <w:r>
        <w:rPr>
          <w:rFonts w:ascii="Calibri" w:hAnsi="宋体" w:eastAsia="宋体" w:cs="Times New Roman"/>
          <w:snapToGrid/>
          <w:color w:val="auto"/>
          <w:kern w:val="2"/>
          <w:lang w:eastAsia="zh-CN"/>
        </w:rPr>
        <w:t>3.2 受托人的工作要求</w:t>
      </w:r>
      <w:bookmarkEnd w:id="324"/>
      <w:bookmarkEnd w:id="325"/>
      <w:bookmarkEnd w:id="326"/>
      <w:bookmarkEnd w:id="327"/>
      <w:bookmarkEnd w:id="328"/>
    </w:p>
    <w:p w14:paraId="1D4640C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3.2.1受托人应当按照专用条件约定的时间等要求向委托人提供与工程造价咨询业务有关的资料，包括工程造价咨询企业的资质证书及承担本合同业务的团队人员名单及执业（从业）资格证书、咨询工作大纲等，并按合同约定的服务范围和工作内容实施咨询业务。</w:t>
      </w:r>
    </w:p>
    <w:p w14:paraId="2B2FC99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3.2.2受托人应当在专用条件约定的时间内，按照专用条件约定的份数、组成向委托人提交咨询成果文件。</w:t>
      </w:r>
    </w:p>
    <w:p w14:paraId="635581A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受托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14:paraId="625B5DF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3.2.3受托人提交的工程造价咨询成果文件，除加盖受托人单位公章、工程造价咨询企业执业印章外，还必须按要求加盖参加咨询工作人员的执业（从业）资格印章。</w:t>
      </w:r>
    </w:p>
    <w:p w14:paraId="6630FAC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3.2.4受托人应在专用条件约定的时间内，对委托人以书面形式提出的建议或者异议给予书面答复。</w:t>
      </w:r>
    </w:p>
    <w:p w14:paraId="0011EF5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3.2.5受托人从事工程造价咨询活动，应当遵循独立、客观、公正、诚实信用的原则，不得损害社会公共利益和他人的合法权益。</w:t>
      </w:r>
    </w:p>
    <w:p w14:paraId="4B180C9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3.2.6受托人承诺按照法律规定及合同约定，完成合同范围内的建设工程造价咨询服务，不转包承接的造价咨询服务业务。</w:t>
      </w:r>
    </w:p>
    <w:p w14:paraId="74A8B05C">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29" w:name="_Toc498246439"/>
      <w:bookmarkStart w:id="330" w:name="_Toc498244077"/>
      <w:bookmarkStart w:id="331" w:name="_Toc419045081"/>
      <w:bookmarkStart w:id="332" w:name="_Toc498241131"/>
      <w:bookmarkStart w:id="333" w:name="_Toc422322497"/>
      <w:bookmarkStart w:id="334" w:name="_Toc498430466"/>
      <w:r>
        <w:rPr>
          <w:rFonts w:ascii="Calibri" w:hAnsi="宋体" w:eastAsia="宋体" w:cs="Times New Roman"/>
          <w:snapToGrid/>
          <w:color w:val="auto"/>
          <w:kern w:val="2"/>
          <w:lang w:eastAsia="zh-CN"/>
        </w:rPr>
        <w:t>3.3受托人的工作依据</w:t>
      </w:r>
      <w:bookmarkEnd w:id="329"/>
      <w:bookmarkEnd w:id="330"/>
      <w:bookmarkEnd w:id="331"/>
      <w:bookmarkEnd w:id="332"/>
      <w:bookmarkEnd w:id="333"/>
      <w:bookmarkEnd w:id="334"/>
    </w:p>
    <w:p w14:paraId="0682B24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受托人应在专用条件内与委托人协商明确履行本合同约定的咨询服务需要适用的技术标准、规范、定额等工作依据，但不得违反国家及工程所在地的强制性标准、规范。</w:t>
      </w:r>
    </w:p>
    <w:p w14:paraId="5EFE4D8B">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受托人应自行配备本条所述的技术标准、规范、定额等相关资料。需要委托人协助才能获得的资料，委托人应予以协助。</w:t>
      </w:r>
    </w:p>
    <w:p w14:paraId="5CF1C21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35" w:name="_Toc419045082"/>
      <w:bookmarkStart w:id="336" w:name="_Toc498430467"/>
      <w:bookmarkStart w:id="337" w:name="_Toc498246440"/>
      <w:bookmarkStart w:id="338" w:name="_Toc498241132"/>
      <w:bookmarkStart w:id="339" w:name="_Toc498244078"/>
      <w:bookmarkStart w:id="340" w:name="_Toc422322498"/>
      <w:r>
        <w:rPr>
          <w:rFonts w:ascii="Calibri" w:hAnsi="宋体" w:eastAsia="宋体" w:cs="Times New Roman"/>
          <w:snapToGrid/>
          <w:color w:val="auto"/>
          <w:kern w:val="2"/>
          <w:lang w:eastAsia="zh-CN"/>
        </w:rPr>
        <w:t>3.4使用委托人房屋及设备的返还</w:t>
      </w:r>
      <w:bookmarkEnd w:id="335"/>
      <w:bookmarkEnd w:id="336"/>
      <w:bookmarkEnd w:id="337"/>
      <w:bookmarkEnd w:id="338"/>
      <w:bookmarkEnd w:id="339"/>
      <w:bookmarkEnd w:id="340"/>
    </w:p>
    <w:p w14:paraId="41AF91B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项目受托人员使用委托人提供的房屋及设备的，受托人应妥善使用和保管，在本合同终止时将上述房屋及设备按专用条件约定的时间和方式返还委托人。</w:t>
      </w:r>
    </w:p>
    <w:bookmarkEnd w:id="323"/>
    <w:p w14:paraId="0777185E">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341" w:name="_Toc422322499"/>
      <w:bookmarkStart w:id="342" w:name="_Toc498430468"/>
      <w:bookmarkStart w:id="343" w:name="_Toc498244079"/>
      <w:bookmarkStart w:id="344" w:name="_Toc419045083"/>
      <w:bookmarkStart w:id="345" w:name="_Toc498246441"/>
      <w:bookmarkStart w:id="346" w:name="_Toc498241133"/>
      <w:bookmarkStart w:id="347" w:name="19"/>
      <w:r>
        <w:rPr>
          <w:rFonts w:ascii="Cambria" w:hAnsi="Cambria" w:eastAsia="宋体" w:cs="Times New Roman"/>
          <w:b/>
          <w:bCs/>
          <w:snapToGrid/>
          <w:color w:val="auto"/>
          <w:kern w:val="2"/>
          <w:sz w:val="24"/>
          <w:szCs w:val="24"/>
          <w:lang w:eastAsia="zh-CN"/>
        </w:rPr>
        <w:t>4.违约责任</w:t>
      </w:r>
      <w:bookmarkEnd w:id="341"/>
      <w:bookmarkEnd w:id="342"/>
      <w:bookmarkEnd w:id="343"/>
      <w:bookmarkEnd w:id="344"/>
      <w:bookmarkEnd w:id="345"/>
      <w:bookmarkEnd w:id="346"/>
    </w:p>
    <w:p w14:paraId="7EEE88A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48" w:name="_Toc422322500"/>
      <w:bookmarkStart w:id="349" w:name="_Toc498241134"/>
      <w:bookmarkStart w:id="350" w:name="_Toc498430469"/>
      <w:bookmarkStart w:id="351" w:name="_Toc498246442"/>
      <w:bookmarkStart w:id="352" w:name="_Toc498244080"/>
      <w:r>
        <w:rPr>
          <w:rFonts w:ascii="Calibri" w:hAnsi="宋体" w:eastAsia="宋体" w:cs="Times New Roman"/>
          <w:snapToGrid/>
          <w:color w:val="auto"/>
          <w:kern w:val="2"/>
          <w:lang w:eastAsia="zh-CN"/>
        </w:rPr>
        <w:t>4.1委托人的违约责任</w:t>
      </w:r>
      <w:bookmarkEnd w:id="348"/>
      <w:bookmarkEnd w:id="349"/>
      <w:bookmarkEnd w:id="350"/>
      <w:bookmarkEnd w:id="351"/>
      <w:bookmarkEnd w:id="352"/>
    </w:p>
    <w:p w14:paraId="1FFDDCA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4.1.1委托人终止委托的，应按受托人已付出的实际工作量，支付咨询酬金。</w:t>
      </w:r>
    </w:p>
    <w:p w14:paraId="6906553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53" w:name="_Toc498246443"/>
      <w:bookmarkStart w:id="354" w:name="_Toc419045084"/>
      <w:bookmarkStart w:id="355" w:name="_Toc498241135"/>
      <w:bookmarkStart w:id="356" w:name="_Toc498430470"/>
      <w:bookmarkStart w:id="357" w:name="_Toc498244081"/>
      <w:bookmarkStart w:id="358" w:name="_Toc422322501"/>
      <w:r>
        <w:rPr>
          <w:rFonts w:ascii="Calibri" w:hAnsi="宋体" w:eastAsia="宋体" w:cs="Times New Roman"/>
          <w:snapToGrid/>
          <w:color w:val="auto"/>
          <w:kern w:val="2"/>
          <w:lang w:eastAsia="zh-CN"/>
        </w:rPr>
        <w:t>4.2受托人的违约责任</w:t>
      </w:r>
      <w:bookmarkEnd w:id="353"/>
      <w:bookmarkEnd w:id="354"/>
      <w:bookmarkEnd w:id="355"/>
      <w:bookmarkEnd w:id="356"/>
      <w:bookmarkEnd w:id="357"/>
      <w:bookmarkEnd w:id="358"/>
    </w:p>
    <w:p w14:paraId="330036C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4.2.1受托人不履行本合同义务或者履行义务不符合本合同约定的，应承担违约责任。双方可在专用条件中约定违约金的计算及支付方法。</w:t>
      </w:r>
    </w:p>
    <w:p w14:paraId="2A42970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4.2.2因受托人违反本合同约定，不履职尽责，有违反职业道德与咨询项目利害关系人串通等行为，给委托人造成损失的，受托人应当赔偿委托人实际损失。</w:t>
      </w:r>
    </w:p>
    <w:p w14:paraId="57A80755">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359" w:name="_Toc498430471"/>
      <w:bookmarkStart w:id="360" w:name="_Toc419045086"/>
      <w:bookmarkStart w:id="361" w:name="_Toc422322502"/>
      <w:bookmarkStart w:id="362" w:name="_Toc498241136"/>
      <w:bookmarkStart w:id="363" w:name="_Toc498246444"/>
      <w:bookmarkStart w:id="364" w:name="_Toc498244082"/>
      <w:r>
        <w:rPr>
          <w:rFonts w:ascii="Cambria" w:hAnsi="Cambria" w:eastAsia="宋体" w:cs="Times New Roman"/>
          <w:b/>
          <w:bCs/>
          <w:snapToGrid/>
          <w:color w:val="auto"/>
          <w:kern w:val="2"/>
          <w:sz w:val="24"/>
          <w:szCs w:val="24"/>
          <w:lang w:eastAsia="zh-CN"/>
        </w:rPr>
        <w:t>5.支付</w:t>
      </w:r>
      <w:bookmarkEnd w:id="359"/>
      <w:bookmarkEnd w:id="360"/>
      <w:bookmarkEnd w:id="361"/>
      <w:bookmarkEnd w:id="362"/>
      <w:bookmarkEnd w:id="363"/>
      <w:bookmarkEnd w:id="364"/>
    </w:p>
    <w:p w14:paraId="642E3F6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65" w:name="_Toc498241137"/>
      <w:bookmarkStart w:id="366" w:name="_Toc422322503"/>
      <w:bookmarkStart w:id="367" w:name="_Toc498246445"/>
      <w:bookmarkStart w:id="368" w:name="_Toc498430472"/>
      <w:bookmarkStart w:id="369" w:name="_Toc498244083"/>
      <w:bookmarkStart w:id="370" w:name="_Toc419045087"/>
      <w:r>
        <w:rPr>
          <w:rFonts w:ascii="Calibri" w:hAnsi="宋体" w:eastAsia="宋体" w:cs="Times New Roman"/>
          <w:snapToGrid/>
          <w:color w:val="auto"/>
          <w:kern w:val="2"/>
          <w:lang w:eastAsia="zh-CN"/>
        </w:rPr>
        <w:t>5.1支付货币</w:t>
      </w:r>
      <w:bookmarkEnd w:id="365"/>
      <w:bookmarkEnd w:id="366"/>
      <w:bookmarkEnd w:id="367"/>
      <w:bookmarkEnd w:id="368"/>
      <w:bookmarkEnd w:id="369"/>
      <w:bookmarkEnd w:id="370"/>
    </w:p>
    <w:p w14:paraId="5D42AE4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lang w:eastAsia="zh-CN"/>
        </w:rPr>
      </w:pPr>
      <w:r>
        <w:rPr>
          <w:rFonts w:ascii="Calibri" w:hAnsi="宋体" w:eastAsia="宋体" w:cs="Times New Roman"/>
          <w:snapToGrid/>
          <w:color w:val="auto"/>
          <w:kern w:val="2"/>
          <w:lang w:eastAsia="zh-CN"/>
        </w:rPr>
        <w:t>　　除专用条件另有约定外，酬金均以人民币支付。</w:t>
      </w:r>
    </w:p>
    <w:p w14:paraId="6225AB0B">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71" w:name="_Toc422322504"/>
      <w:bookmarkStart w:id="372" w:name="_Toc498246446"/>
      <w:bookmarkStart w:id="373" w:name="_Toc498430473"/>
      <w:bookmarkStart w:id="374" w:name="_Toc498244084"/>
      <w:bookmarkStart w:id="375" w:name="_Toc498241138"/>
      <w:r>
        <w:rPr>
          <w:rFonts w:ascii="Calibri" w:hAnsi="宋体" w:eastAsia="宋体" w:cs="Times New Roman"/>
          <w:snapToGrid/>
          <w:color w:val="auto"/>
          <w:kern w:val="2"/>
          <w:lang w:eastAsia="zh-CN"/>
        </w:rPr>
        <w:t>5.2支付申请</w:t>
      </w:r>
      <w:bookmarkEnd w:id="371"/>
      <w:bookmarkEnd w:id="372"/>
      <w:bookmarkEnd w:id="373"/>
      <w:bookmarkEnd w:id="374"/>
      <w:bookmarkEnd w:id="375"/>
    </w:p>
    <w:p w14:paraId="5A1FB47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lang w:eastAsia="zh-CN"/>
        </w:rPr>
      </w:pPr>
      <w:r>
        <w:rPr>
          <w:rFonts w:ascii="Calibri" w:hAnsi="宋体" w:eastAsia="宋体" w:cs="Times New Roman"/>
          <w:snapToGrid/>
          <w:color w:val="auto"/>
          <w:kern w:val="2"/>
          <w:lang w:eastAsia="zh-CN"/>
        </w:rPr>
        <w:t>　　受托人应在本合同约定的每次应付款日期前，向委托人提交支付申请书，支付申请书的提交日期由双方在专用条件中约定。支付申请书应当说明当期应付款总额，并列出当期应支付的款项及其金额。</w:t>
      </w:r>
    </w:p>
    <w:p w14:paraId="0D5C040B">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76" w:name="_Toc498244085"/>
      <w:bookmarkStart w:id="377" w:name="_Toc498246447"/>
      <w:bookmarkStart w:id="378" w:name="_Toc498241139"/>
      <w:bookmarkStart w:id="379" w:name="_Toc422322505"/>
      <w:bookmarkStart w:id="380" w:name="_Toc498430474"/>
      <w:r>
        <w:rPr>
          <w:rFonts w:ascii="Calibri" w:hAnsi="宋体" w:eastAsia="宋体" w:cs="Times New Roman"/>
          <w:snapToGrid/>
          <w:color w:val="auto"/>
          <w:kern w:val="2"/>
          <w:lang w:eastAsia="zh-CN"/>
        </w:rPr>
        <w:t>5.3 支付酬金</w:t>
      </w:r>
      <w:bookmarkEnd w:id="376"/>
      <w:bookmarkEnd w:id="377"/>
      <w:bookmarkEnd w:id="378"/>
      <w:bookmarkEnd w:id="379"/>
      <w:bookmarkEnd w:id="380"/>
    </w:p>
    <w:p w14:paraId="1E13CB4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支付酬金包括正常工作酬金、附加工作酬金、合理化建议奖励金额及费用。</w:t>
      </w:r>
      <w:bookmarkStart w:id="381" w:name="_Toc422322506"/>
    </w:p>
    <w:p w14:paraId="786B106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82" w:name="_Toc498244086"/>
      <w:bookmarkStart w:id="383" w:name="_Toc498430475"/>
      <w:bookmarkStart w:id="384" w:name="_Toc498241140"/>
      <w:bookmarkStart w:id="385" w:name="_Toc498246448"/>
      <w:r>
        <w:rPr>
          <w:rFonts w:ascii="Calibri" w:hAnsi="宋体" w:eastAsia="宋体" w:cs="Times New Roman"/>
          <w:snapToGrid/>
          <w:color w:val="auto"/>
          <w:kern w:val="2"/>
          <w:lang w:eastAsia="zh-CN"/>
        </w:rPr>
        <w:t>5.4有异议部分的支付</w:t>
      </w:r>
      <w:bookmarkEnd w:id="381"/>
      <w:bookmarkEnd w:id="382"/>
      <w:bookmarkEnd w:id="383"/>
      <w:bookmarkEnd w:id="384"/>
      <w:bookmarkEnd w:id="385"/>
    </w:p>
    <w:p w14:paraId="3E60370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　　委托人对受托人提交的支付申请书有异议时，应当在收到受托人提交的支付申请书后7日内，以书面形式向受托人发出异议通知。无异议部分的款项应按期支付，有异议部分的款项按第7条约定办理。</w:t>
      </w:r>
    </w:p>
    <w:p w14:paraId="0C2CB116">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386" w:name="_Toc498241141"/>
      <w:bookmarkStart w:id="387" w:name="_Toc498246449"/>
      <w:bookmarkStart w:id="388" w:name="_Toc422322507"/>
      <w:bookmarkStart w:id="389" w:name="_Toc419045088"/>
      <w:bookmarkStart w:id="390" w:name="_Toc498430476"/>
      <w:bookmarkStart w:id="391" w:name="_Toc498244087"/>
      <w:r>
        <w:rPr>
          <w:rFonts w:ascii="Cambria" w:hAnsi="Cambria" w:eastAsia="宋体" w:cs="Times New Roman"/>
          <w:b/>
          <w:bCs/>
          <w:snapToGrid/>
          <w:color w:val="auto"/>
          <w:kern w:val="2"/>
          <w:sz w:val="24"/>
          <w:szCs w:val="24"/>
          <w:lang w:eastAsia="zh-CN"/>
        </w:rPr>
        <w:t>6.合同变更、解除与终止</w:t>
      </w:r>
      <w:bookmarkEnd w:id="386"/>
      <w:bookmarkEnd w:id="387"/>
      <w:bookmarkEnd w:id="388"/>
      <w:bookmarkEnd w:id="389"/>
      <w:bookmarkEnd w:id="390"/>
      <w:bookmarkEnd w:id="391"/>
    </w:p>
    <w:p w14:paraId="299257C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92" w:name="_Toc498244088"/>
      <w:bookmarkStart w:id="393" w:name="_Toc498241142"/>
      <w:bookmarkStart w:id="394" w:name="_Toc422322508"/>
      <w:bookmarkStart w:id="395" w:name="_Toc498430477"/>
      <w:bookmarkStart w:id="396" w:name="_Toc498246450"/>
      <w:bookmarkStart w:id="397" w:name="_Toc419045089"/>
      <w:r>
        <w:rPr>
          <w:rFonts w:ascii="Calibri" w:hAnsi="宋体" w:eastAsia="宋体" w:cs="Times New Roman"/>
          <w:snapToGrid/>
          <w:color w:val="auto"/>
          <w:kern w:val="2"/>
          <w:lang w:eastAsia="zh-CN"/>
        </w:rPr>
        <w:t>6.1合同变更</w:t>
      </w:r>
      <w:bookmarkEnd w:id="392"/>
      <w:bookmarkEnd w:id="393"/>
      <w:bookmarkEnd w:id="394"/>
      <w:bookmarkEnd w:id="395"/>
      <w:bookmarkEnd w:id="396"/>
      <w:bookmarkEnd w:id="397"/>
    </w:p>
    <w:p w14:paraId="6E3E75BC">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6.1.1 任何一方以书面形式提出变更请求时，双方经协商一致后可进行变更。</w:t>
      </w:r>
      <w:r>
        <w:rPr>
          <w:rFonts w:ascii="Calibri" w:hAnsi="宋体" w:eastAsia="宋体" w:cs="Times New Roman"/>
          <w:snapToGrid/>
          <w:color w:val="auto"/>
          <w:kern w:val="2"/>
          <w:lang w:eastAsia="zh-CN"/>
        </w:rPr>
        <w:br w:type="textWrapping"/>
      </w:r>
      <w:r>
        <w:rPr>
          <w:rFonts w:ascii="Calibri" w:hAnsi="宋体" w:eastAsia="宋体" w:cs="Times New Roman"/>
          <w:snapToGrid/>
          <w:color w:val="auto"/>
          <w:kern w:val="2"/>
          <w:lang w:eastAsia="zh-CN"/>
        </w:rPr>
        <w:t>　　6.1.2除不可抗力外，因非受托人原因导致受托人履行合同期限延长、内容增加时，受托人应当将此情况与可能产生的影响及时通知委托人。增加的工作时间或工作内容应视为附加工作。附加工作酬金的确定方法由双方根据委托的服务范围及工作内容在专用条件中约定。</w:t>
      </w:r>
    </w:p>
    <w:p w14:paraId="6D37A49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6.1.3合同履行过程中，遇有与工程相关的法律法规、强制性标准颁布或修订的，双方应遵照执行。非强制性标准、规范、定额等发生变化的，双方协商确定执行依据。由此引起造价咨询的服务范围及内容、服务期限、酬金变化的，双方应通过协商确定。</w:t>
      </w:r>
      <w:r>
        <w:rPr>
          <w:rFonts w:ascii="Calibri" w:hAnsi="宋体" w:eastAsia="宋体" w:cs="Times New Roman"/>
          <w:snapToGrid/>
          <w:color w:val="auto"/>
          <w:kern w:val="2"/>
          <w:lang w:eastAsia="zh-CN"/>
        </w:rPr>
        <w:br w:type="textWrapping"/>
      </w:r>
      <w:r>
        <w:rPr>
          <w:rFonts w:ascii="Calibri" w:hAnsi="宋体" w:eastAsia="宋体" w:cs="Times New Roman"/>
          <w:snapToGrid/>
          <w:color w:val="auto"/>
          <w:kern w:val="2"/>
          <w:lang w:eastAsia="zh-CN"/>
        </w:rPr>
        <w:t>　　6.1.4 因工程规模、服务范围及工作内容的变化等导致受托人的工作量增减时，服务酬金应作相应调整，调整方法由双方在专用条件中约定。</w:t>
      </w:r>
    </w:p>
    <w:p w14:paraId="0AB1C89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398" w:name="_Toc498241143"/>
      <w:bookmarkStart w:id="399" w:name="_Toc498246451"/>
      <w:bookmarkStart w:id="400" w:name="_Toc498244089"/>
      <w:bookmarkStart w:id="401" w:name="_Toc422322509"/>
      <w:bookmarkStart w:id="402" w:name="_Toc498430478"/>
      <w:bookmarkStart w:id="403" w:name="_Toc419045090"/>
      <w:r>
        <w:rPr>
          <w:rFonts w:ascii="Calibri" w:hAnsi="宋体" w:eastAsia="宋体" w:cs="Times New Roman"/>
          <w:snapToGrid/>
          <w:color w:val="auto"/>
          <w:kern w:val="2"/>
          <w:lang w:eastAsia="zh-CN"/>
        </w:rPr>
        <w:t>6.2合同解除</w:t>
      </w:r>
      <w:bookmarkEnd w:id="398"/>
      <w:bookmarkEnd w:id="399"/>
      <w:bookmarkEnd w:id="400"/>
      <w:bookmarkEnd w:id="401"/>
      <w:bookmarkEnd w:id="402"/>
      <w:bookmarkEnd w:id="403"/>
    </w:p>
    <w:p w14:paraId="61680D7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6.2.1 委托人与受托人协商一致，可以解除合同。</w:t>
      </w:r>
    </w:p>
    <w:p w14:paraId="6FD936D7">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6.2.2 有下列情形之一的，合同当事人一方或双方可以解除合同：</w:t>
      </w:r>
    </w:p>
    <w:p w14:paraId="7B19C12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（1）受托人将本合同约定的工程造价咨询服务工作全部或部分转包给他人，委托人可以解除合同；</w:t>
      </w:r>
      <w:r>
        <w:rPr>
          <w:rFonts w:ascii="Calibri" w:hAnsi="宋体" w:eastAsia="宋体" w:cs="Times New Roman"/>
          <w:snapToGrid/>
          <w:color w:val="auto"/>
          <w:kern w:val="2"/>
          <w:lang w:eastAsia="zh-CN"/>
        </w:rPr>
        <w:br w:type="textWrapping"/>
      </w:r>
      <w:r>
        <w:rPr>
          <w:rFonts w:ascii="Calibri" w:hAnsi="宋体" w:eastAsia="宋体" w:cs="Times New Roman"/>
          <w:snapToGrid/>
          <w:color w:val="auto"/>
          <w:kern w:val="2"/>
          <w:lang w:eastAsia="zh-CN"/>
        </w:rPr>
        <w:t xml:space="preserve">    （2）受托人提供的造价咨询服务不符合合同约定的要求，经委托人催告仍不能达到合同约定要求的，委托人可以解除合同；</w:t>
      </w:r>
    </w:p>
    <w:p w14:paraId="2614CAEB">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（3）因不可抗力致使合同无法履行；</w:t>
      </w:r>
    </w:p>
    <w:p w14:paraId="06B95EA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（4）因一方违约致使合同无法实际履行或实际履行已无必要。</w:t>
      </w:r>
    </w:p>
    <w:p w14:paraId="107213B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除上述情形外，双方可以根据委托的服务范围及工作内容，在专用条件中约定解除合同的其他条件。</w:t>
      </w:r>
    </w:p>
    <w:p w14:paraId="036B8A3C">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6.2.3 任何一方提出解除合同的，应提前30天书面通知对方。</w:t>
      </w:r>
    </w:p>
    <w:p w14:paraId="4FA2D41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6.2.4合同解除后，委托人应按照合同约定向受托人支付已完成部分的咨询服务酬金。</w:t>
      </w:r>
    </w:p>
    <w:p w14:paraId="34AF94A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因不可抗力导致的合同解除，其损失的分担按照合理分担的原则由合同当事人在专用条件中自行约定。除不可抗力外因非受托人原因导致的合同解除，其损失由委托人承担。因受托人自身原因导致的合同解除，按照违约责任处理。</w:t>
      </w:r>
    </w:p>
    <w:p w14:paraId="4EE7A9A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6.2.5本合同解除后，本合同约定的有关结算、争议解决方式的条款仍然有效。</w:t>
      </w:r>
    </w:p>
    <w:p w14:paraId="28637E3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04" w:name="_Toc498241144"/>
      <w:bookmarkStart w:id="405" w:name="_Toc498244090"/>
      <w:bookmarkStart w:id="406" w:name="_Toc498430479"/>
      <w:bookmarkStart w:id="407" w:name="_Toc498246452"/>
      <w:bookmarkStart w:id="408" w:name="_Toc422322510"/>
      <w:r>
        <w:rPr>
          <w:rFonts w:ascii="Calibri" w:hAnsi="宋体" w:eastAsia="宋体" w:cs="Times New Roman"/>
          <w:snapToGrid/>
          <w:color w:val="auto"/>
          <w:kern w:val="2"/>
          <w:lang w:eastAsia="zh-CN"/>
        </w:rPr>
        <w:t>6.3 合同终止</w:t>
      </w:r>
      <w:bookmarkEnd w:id="404"/>
      <w:bookmarkEnd w:id="405"/>
      <w:bookmarkEnd w:id="406"/>
      <w:bookmarkEnd w:id="407"/>
      <w:bookmarkEnd w:id="408"/>
    </w:p>
    <w:p w14:paraId="0BED35E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除合同解除外，以下条件全部满足时，本合同终止：</w:t>
      </w:r>
      <w:r>
        <w:rPr>
          <w:rFonts w:ascii="Calibri" w:hAnsi="宋体" w:eastAsia="宋体" w:cs="Times New Roman"/>
          <w:snapToGrid/>
          <w:color w:val="auto"/>
          <w:kern w:val="2"/>
          <w:lang w:eastAsia="zh-CN"/>
        </w:rPr>
        <w:br w:type="textWrapping"/>
      </w:r>
      <w:r>
        <w:rPr>
          <w:rFonts w:ascii="Calibri" w:hAnsi="宋体" w:eastAsia="宋体" w:cs="Times New Roman"/>
          <w:snapToGrid/>
          <w:color w:val="auto"/>
          <w:kern w:val="2"/>
          <w:lang w:eastAsia="zh-CN"/>
        </w:rPr>
        <w:t>　 （1）受托人完成本合同约定的全部工作；</w:t>
      </w:r>
      <w:r>
        <w:rPr>
          <w:rFonts w:ascii="Calibri" w:hAnsi="宋体" w:eastAsia="宋体" w:cs="Times New Roman"/>
          <w:snapToGrid/>
          <w:color w:val="auto"/>
          <w:kern w:val="2"/>
          <w:lang w:eastAsia="zh-CN"/>
        </w:rPr>
        <w:br w:type="textWrapping"/>
      </w:r>
      <w:r>
        <w:rPr>
          <w:rFonts w:ascii="Calibri" w:hAnsi="宋体" w:eastAsia="宋体" w:cs="Times New Roman"/>
          <w:snapToGrid/>
          <w:color w:val="auto"/>
          <w:kern w:val="2"/>
          <w:lang w:eastAsia="zh-CN"/>
        </w:rPr>
        <w:t>　 （2）委托人与受托人结清并支付酬金；</w:t>
      </w:r>
    </w:p>
    <w:p w14:paraId="2639D4C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 xml:space="preserve">   （3）受托人将委托人提供的资料交还。</w:t>
      </w:r>
    </w:p>
    <w:p w14:paraId="13A4CBC9">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409" w:name="_Toc422322511"/>
      <w:bookmarkStart w:id="410" w:name="_Toc498241145"/>
      <w:bookmarkStart w:id="411" w:name="_Toc498430480"/>
      <w:bookmarkStart w:id="412" w:name="_Toc419045091"/>
      <w:bookmarkStart w:id="413" w:name="_Toc498244091"/>
      <w:bookmarkStart w:id="414" w:name="_Toc498246453"/>
      <w:r>
        <w:rPr>
          <w:rFonts w:ascii="Cambria" w:hAnsi="Cambria" w:eastAsia="宋体" w:cs="Times New Roman"/>
          <w:b/>
          <w:bCs/>
          <w:snapToGrid/>
          <w:color w:val="auto"/>
          <w:kern w:val="2"/>
          <w:sz w:val="24"/>
          <w:szCs w:val="24"/>
          <w:lang w:eastAsia="zh-CN"/>
        </w:rPr>
        <w:t>7.争议解决</w:t>
      </w:r>
      <w:bookmarkEnd w:id="347"/>
      <w:bookmarkEnd w:id="409"/>
      <w:bookmarkEnd w:id="410"/>
      <w:bookmarkEnd w:id="411"/>
      <w:bookmarkEnd w:id="412"/>
      <w:bookmarkEnd w:id="413"/>
      <w:bookmarkEnd w:id="414"/>
    </w:p>
    <w:p w14:paraId="342A8A4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15" w:name="_Toc422322512"/>
      <w:bookmarkStart w:id="416" w:name="_Toc498244092"/>
      <w:bookmarkStart w:id="417" w:name="_Toc419045092"/>
      <w:bookmarkStart w:id="418" w:name="_Toc498246454"/>
      <w:bookmarkStart w:id="419" w:name="_Toc498241146"/>
      <w:bookmarkStart w:id="420" w:name="_Toc498430481"/>
      <w:r>
        <w:rPr>
          <w:rFonts w:ascii="Calibri" w:hAnsi="宋体" w:eastAsia="宋体" w:cs="Times New Roman"/>
          <w:snapToGrid/>
          <w:color w:val="auto"/>
          <w:kern w:val="2"/>
          <w:lang w:eastAsia="zh-CN"/>
        </w:rPr>
        <w:t>7.1协商</w:t>
      </w:r>
      <w:bookmarkEnd w:id="415"/>
      <w:bookmarkEnd w:id="416"/>
      <w:bookmarkEnd w:id="417"/>
      <w:bookmarkEnd w:id="418"/>
      <w:bookmarkEnd w:id="419"/>
      <w:bookmarkEnd w:id="420"/>
    </w:p>
    <w:p w14:paraId="5F08933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双方应本着诚实信用的原则协商解决本合同履行过程中发生的争议。</w:t>
      </w:r>
      <w:bookmarkStart w:id="421" w:name="37"/>
    </w:p>
    <w:p w14:paraId="6704D71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22" w:name="_Toc498241147"/>
      <w:bookmarkStart w:id="423" w:name="_Toc419045093"/>
      <w:bookmarkStart w:id="424" w:name="_Toc422322513"/>
      <w:bookmarkStart w:id="425" w:name="_Toc498244093"/>
      <w:bookmarkStart w:id="426" w:name="_Toc498430482"/>
      <w:bookmarkStart w:id="427" w:name="_Toc498246455"/>
      <w:r>
        <w:rPr>
          <w:rFonts w:ascii="Calibri" w:hAnsi="宋体" w:eastAsia="宋体" w:cs="Times New Roman"/>
          <w:snapToGrid/>
          <w:color w:val="auto"/>
          <w:kern w:val="2"/>
          <w:lang w:eastAsia="zh-CN"/>
        </w:rPr>
        <w:t>7.2</w:t>
      </w:r>
      <w:bookmarkEnd w:id="421"/>
      <w:r>
        <w:rPr>
          <w:rFonts w:ascii="Calibri" w:hAnsi="宋体" w:eastAsia="宋体" w:cs="Times New Roman"/>
          <w:snapToGrid/>
          <w:color w:val="auto"/>
          <w:kern w:val="2"/>
          <w:lang w:eastAsia="zh-CN"/>
        </w:rPr>
        <w:t>调解</w:t>
      </w:r>
      <w:bookmarkEnd w:id="422"/>
      <w:bookmarkEnd w:id="423"/>
      <w:bookmarkEnd w:id="424"/>
      <w:bookmarkEnd w:id="425"/>
      <w:bookmarkEnd w:id="426"/>
      <w:bookmarkEnd w:id="427"/>
    </w:p>
    <w:p w14:paraId="3FBC379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如果双方不能在14日内或双方商定的其他时间内解决本合同争议，可以将其提交给专用条件约定的或事后达成协议的调解人进行调解。</w:t>
      </w:r>
    </w:p>
    <w:p w14:paraId="32AE6CF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28" w:name="38"/>
      <w:bookmarkStart w:id="429" w:name="_Toc419045094"/>
      <w:bookmarkStart w:id="430" w:name="_Toc498241148"/>
      <w:bookmarkStart w:id="431" w:name="_Toc498244094"/>
      <w:bookmarkStart w:id="432" w:name="_Toc422322514"/>
      <w:bookmarkStart w:id="433" w:name="_Toc498246456"/>
      <w:bookmarkStart w:id="434" w:name="_Toc498430483"/>
      <w:r>
        <w:rPr>
          <w:rFonts w:ascii="Calibri" w:hAnsi="宋体" w:eastAsia="宋体" w:cs="Times New Roman"/>
          <w:snapToGrid/>
          <w:color w:val="auto"/>
          <w:kern w:val="2"/>
          <w:lang w:eastAsia="zh-CN"/>
        </w:rPr>
        <w:t>7.</w:t>
      </w:r>
      <w:bookmarkEnd w:id="428"/>
      <w:r>
        <w:rPr>
          <w:rFonts w:ascii="Calibri" w:hAnsi="宋体" w:eastAsia="宋体" w:cs="Times New Roman"/>
          <w:snapToGrid/>
          <w:color w:val="auto"/>
          <w:kern w:val="2"/>
          <w:lang w:eastAsia="zh-CN"/>
        </w:rPr>
        <w:t>3仲裁或诉讼</w:t>
      </w:r>
      <w:bookmarkEnd w:id="429"/>
      <w:bookmarkEnd w:id="430"/>
      <w:bookmarkEnd w:id="431"/>
      <w:bookmarkEnd w:id="432"/>
      <w:bookmarkEnd w:id="433"/>
      <w:bookmarkEnd w:id="434"/>
    </w:p>
    <w:p w14:paraId="6896D48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双方均有权不经调解直接向专用条件约定的仲裁机构申请仲裁或向有管辖权的人民法院提起诉讼。</w:t>
      </w:r>
    </w:p>
    <w:p w14:paraId="7D655ED1">
      <w:pPr>
        <w:kinsoku/>
        <w:autoSpaceDE/>
        <w:autoSpaceDN/>
        <w:adjustRightInd/>
        <w:snapToGrid/>
        <w:spacing w:line="360" w:lineRule="auto"/>
        <w:ind w:firstLine="482" w:firstLineChars="200"/>
        <w:textAlignment w:val="auto"/>
        <w:outlineLvl w:val="0"/>
        <w:rPr>
          <w:rFonts w:ascii="Cambria" w:hAnsi="Cambria" w:eastAsia="宋体" w:cs="Times New Roman"/>
          <w:b/>
          <w:bCs/>
          <w:snapToGrid/>
          <w:color w:val="auto"/>
          <w:kern w:val="2"/>
          <w:sz w:val="24"/>
          <w:szCs w:val="24"/>
          <w:lang w:eastAsia="zh-CN"/>
        </w:rPr>
      </w:pPr>
      <w:bookmarkStart w:id="435" w:name="_Toc498430484"/>
      <w:bookmarkStart w:id="436" w:name="_Toc498246457"/>
      <w:bookmarkStart w:id="437" w:name="_Toc498241149"/>
      <w:bookmarkStart w:id="438" w:name="_Toc498244095"/>
      <w:bookmarkStart w:id="439" w:name="_Toc422322515"/>
      <w:bookmarkStart w:id="440" w:name="_Toc419045095"/>
      <w:r>
        <w:rPr>
          <w:rFonts w:ascii="Cambria" w:hAnsi="Cambria" w:eastAsia="宋体" w:cs="Times New Roman"/>
          <w:b/>
          <w:bCs/>
          <w:snapToGrid/>
          <w:color w:val="auto"/>
          <w:kern w:val="2"/>
          <w:sz w:val="24"/>
          <w:szCs w:val="24"/>
          <w:lang w:eastAsia="zh-CN"/>
        </w:rPr>
        <w:t>8.其他</w:t>
      </w:r>
      <w:bookmarkEnd w:id="435"/>
      <w:bookmarkEnd w:id="436"/>
      <w:bookmarkEnd w:id="437"/>
      <w:bookmarkEnd w:id="438"/>
      <w:bookmarkEnd w:id="439"/>
      <w:bookmarkEnd w:id="440"/>
    </w:p>
    <w:p w14:paraId="34F3753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41" w:name="39"/>
      <w:bookmarkStart w:id="442" w:name="_Toc498241150"/>
      <w:bookmarkStart w:id="443" w:name="_Toc498430485"/>
      <w:bookmarkStart w:id="444" w:name="_Toc498244096"/>
      <w:bookmarkStart w:id="445" w:name="_Toc498246458"/>
      <w:bookmarkStart w:id="446" w:name="_Toc419045096"/>
      <w:bookmarkStart w:id="447" w:name="_Toc422322516"/>
      <w:r>
        <w:rPr>
          <w:rFonts w:ascii="Calibri" w:hAnsi="宋体" w:eastAsia="宋体" w:cs="Times New Roman"/>
          <w:snapToGrid/>
          <w:color w:val="auto"/>
          <w:kern w:val="2"/>
          <w:lang w:eastAsia="zh-CN"/>
        </w:rPr>
        <w:t>8.1</w:t>
      </w:r>
      <w:bookmarkEnd w:id="441"/>
      <w:r>
        <w:rPr>
          <w:rFonts w:ascii="Calibri" w:hAnsi="宋体" w:eastAsia="宋体" w:cs="Times New Roman"/>
          <w:snapToGrid/>
          <w:color w:val="auto"/>
          <w:kern w:val="2"/>
          <w:lang w:eastAsia="zh-CN"/>
        </w:rPr>
        <w:t>考察及相关费用</w:t>
      </w:r>
      <w:bookmarkEnd w:id="442"/>
      <w:bookmarkEnd w:id="443"/>
      <w:bookmarkEnd w:id="444"/>
      <w:bookmarkEnd w:id="445"/>
      <w:bookmarkEnd w:id="446"/>
      <w:bookmarkEnd w:id="447"/>
    </w:p>
    <w:p w14:paraId="7AE440B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除专用条件另有约定外，受托人经委托人同意进行考察发生的费用由委托人审核后另行支付。差旅费及相关费用的承担由双方在专用条件中约定。</w:t>
      </w:r>
    </w:p>
    <w:p w14:paraId="21931A0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48" w:name="_Toc498241151"/>
      <w:bookmarkStart w:id="449" w:name="_Toc498430486"/>
      <w:bookmarkStart w:id="450" w:name="_Toc498244097"/>
      <w:bookmarkStart w:id="451" w:name="_Toc422322517"/>
      <w:bookmarkStart w:id="452" w:name="_Toc498246459"/>
      <w:r>
        <w:rPr>
          <w:rFonts w:ascii="Calibri" w:hAnsi="宋体" w:eastAsia="宋体" w:cs="Times New Roman"/>
          <w:snapToGrid/>
          <w:color w:val="auto"/>
          <w:kern w:val="2"/>
          <w:lang w:eastAsia="zh-CN"/>
        </w:rPr>
        <w:t>8.2奖励</w:t>
      </w:r>
      <w:bookmarkEnd w:id="448"/>
      <w:bookmarkEnd w:id="449"/>
      <w:bookmarkEnd w:id="450"/>
      <w:bookmarkEnd w:id="451"/>
      <w:bookmarkEnd w:id="452"/>
    </w:p>
    <w:p w14:paraId="235B247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对于受托人在服务过程中提出合理化建议，使委托人获得效益的，双方在专用条件中约定奖励金额的确定方法。奖励金额在合理化建议被采纳后，与最近一期的正常工作酬金同期支付。</w:t>
      </w:r>
    </w:p>
    <w:p w14:paraId="7A9398F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53" w:name="_Toc498244098"/>
      <w:bookmarkStart w:id="454" w:name="_Toc498430487"/>
      <w:bookmarkStart w:id="455" w:name="_Toc422322518"/>
      <w:bookmarkStart w:id="456" w:name="_Toc498241152"/>
      <w:bookmarkStart w:id="457" w:name="_Toc498246460"/>
      <w:r>
        <w:rPr>
          <w:rFonts w:ascii="Calibri" w:hAnsi="宋体" w:eastAsia="宋体" w:cs="Times New Roman"/>
          <w:snapToGrid/>
          <w:color w:val="auto"/>
          <w:kern w:val="2"/>
          <w:lang w:eastAsia="zh-CN"/>
        </w:rPr>
        <w:t>8.3保密</w:t>
      </w:r>
      <w:bookmarkEnd w:id="453"/>
      <w:bookmarkEnd w:id="454"/>
      <w:bookmarkEnd w:id="455"/>
      <w:bookmarkEnd w:id="456"/>
      <w:bookmarkEnd w:id="457"/>
    </w:p>
    <w:p w14:paraId="0B6109F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在本合同履行期间或专用条件约定的期限内，双方不得泄露对方申明的保密资料，亦不得泄露与实施工程有关的第三人所提供的保密资料。保密事项在专用条件中约定。</w:t>
      </w:r>
    </w:p>
    <w:p w14:paraId="24C8EDE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58" w:name="_Toc419045097"/>
      <w:bookmarkStart w:id="459" w:name="_Toc498246461"/>
      <w:bookmarkStart w:id="460" w:name="_Toc498244099"/>
      <w:bookmarkStart w:id="461" w:name="_Toc498430488"/>
      <w:bookmarkStart w:id="462" w:name="_Toc422322519"/>
      <w:r>
        <w:rPr>
          <w:rFonts w:ascii="Calibri" w:hAnsi="宋体" w:eastAsia="宋体" w:cs="Times New Roman"/>
          <w:snapToGrid/>
          <w:color w:val="auto"/>
          <w:kern w:val="2"/>
          <w:lang w:eastAsia="zh-CN"/>
        </w:rPr>
        <w:t>8.4</w:t>
      </w:r>
      <w:bookmarkEnd w:id="458"/>
      <w:r>
        <w:rPr>
          <w:rFonts w:ascii="Calibri" w:hAnsi="宋体" w:eastAsia="宋体" w:cs="Times New Roman"/>
          <w:snapToGrid/>
          <w:color w:val="auto"/>
          <w:kern w:val="2"/>
          <w:lang w:eastAsia="zh-CN"/>
        </w:rPr>
        <w:t>联络</w:t>
      </w:r>
      <w:bookmarkEnd w:id="459"/>
      <w:bookmarkEnd w:id="460"/>
      <w:bookmarkEnd w:id="461"/>
      <w:bookmarkEnd w:id="462"/>
    </w:p>
    <w:p w14:paraId="4B5C6DB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8.4.1与合同有关的通知、指示、要求、决定等，均应采用书面形式，并应在专用条件约定的期限内送达接收人和送达地点。</w:t>
      </w:r>
    </w:p>
    <w:p w14:paraId="33EA16C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8.4.2委托人和受托人应在专用条件中约定各自的送达接收人、送达地点、电子邮箱。任何一方指定的接收人或送达地点或电子邮箱发生变动的，应提前3天以书面形式通知对方，否则视为未发生变动。</w:t>
      </w:r>
    </w:p>
    <w:p w14:paraId="36783EC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8.4.3委托人和受托人应当及时签收另一方送达至送达地点和指定接收人的往来函件，如确有充分证据证明一方无正当理由拒不签收的，视为认可往来函件的内容。</w:t>
      </w:r>
    </w:p>
    <w:p w14:paraId="3E0C855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63" w:name="_Toc422322520"/>
      <w:bookmarkStart w:id="464" w:name="_Toc498430489"/>
      <w:bookmarkStart w:id="465" w:name="_Toc498246462"/>
      <w:bookmarkStart w:id="466" w:name="_Toc498241153"/>
      <w:bookmarkStart w:id="467" w:name="_Toc498244100"/>
      <w:r>
        <w:rPr>
          <w:rFonts w:ascii="Calibri" w:hAnsi="宋体" w:eastAsia="宋体" w:cs="Times New Roman"/>
          <w:snapToGrid/>
          <w:color w:val="auto"/>
          <w:kern w:val="2"/>
          <w:lang w:eastAsia="zh-CN"/>
        </w:rPr>
        <w:t>8.5知识产权</w:t>
      </w:r>
      <w:bookmarkEnd w:id="463"/>
      <w:bookmarkEnd w:id="464"/>
      <w:bookmarkEnd w:id="465"/>
      <w:bookmarkEnd w:id="466"/>
      <w:bookmarkEnd w:id="467"/>
    </w:p>
    <w:p w14:paraId="01647E4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除专用条件另有约定外，委托人提供给受托人的图纸、委托人为实施工程自行编制或委托编制的技术规范以及反映委托人要求的或其他类似性质文件的著作权属于委托人，受托人可以为实现本合同目的而复制或者以其他方式使用此类文件，但不能用于与本合同无关的其他事项。未经委托人书面同意，受托人不得为了本合同以外的目的而复制或者以其他方式使用上述文件或将之提供给任何第三方。</w:t>
      </w:r>
    </w:p>
    <w:p w14:paraId="074C2BB4">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除专用条件另有约定外，受托人为履行本合同约定而编制的成果文件，其著作权属于受托人。委托人可以为实现合同目的而复制、使用此类文件，但不能擅自修改或用于与本合同无关的其他事项。未经受托人书面同意，委托人不得为了本合同以外的目的而复制或者以其他方式使用上述文件或将之提供给任何第三方。</w:t>
      </w:r>
    </w:p>
    <w:p w14:paraId="103552B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双方保证在履行本合同过程中不侵犯对方及第三方的知识产权。因受托人侵犯他人知识产权所引起的责任，由受托人承担；因委托人提供的基础资料导致侵权的，由委托人承担责任。</w:t>
      </w:r>
    </w:p>
    <w:p w14:paraId="68B1F50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除专用条件另有约定外，双方均有权在履行本合同保密义务并且不损害对方利益的情况下，将履行本合同形成的有关成果文件用于企业宣传、申报奖项以及接受上级主管部门的检查。</w:t>
      </w:r>
    </w:p>
    <w:p w14:paraId="0E12E461">
      <w:pPr>
        <w:kinsoku/>
        <w:autoSpaceDE/>
        <w:autoSpaceDN/>
        <w:adjustRightInd/>
        <w:snapToGrid/>
        <w:spacing w:line="360" w:lineRule="auto"/>
        <w:jc w:val="center"/>
        <w:textAlignment w:val="auto"/>
        <w:rPr>
          <w:rFonts w:ascii="Times New Roman" w:hAnsi="Times New Roman" w:eastAsia="宋体" w:cs="Times New Roman"/>
          <w:b/>
          <w:snapToGrid/>
          <w:color w:val="auto"/>
          <w:lang w:eastAsia="zh-CN"/>
        </w:rPr>
      </w:pPr>
    </w:p>
    <w:p w14:paraId="05D02792">
      <w:pPr>
        <w:widowControl w:val="0"/>
        <w:kinsoku/>
        <w:autoSpaceDE/>
        <w:autoSpaceDN/>
        <w:adjustRightInd/>
        <w:snapToGrid/>
        <w:spacing w:before="340" w:after="331"/>
        <w:jc w:val="center"/>
        <w:textAlignment w:val="auto"/>
        <w:outlineLvl w:val="0"/>
        <w:rPr>
          <w:rFonts w:hint="eastAsia" w:ascii="宋体" w:hAnsi="宋体" w:eastAsia="宋体" w:cs="Times New Roman"/>
          <w:b/>
          <w:snapToGrid/>
          <w:color w:val="auto"/>
          <w:lang w:eastAsia="zh-CN"/>
        </w:rPr>
      </w:pPr>
      <w:r>
        <w:rPr>
          <w:rFonts w:ascii="黑体" w:hAnsi="Times New Roman" w:eastAsia="黑体" w:cs="Times New Roman"/>
          <w:b/>
          <w:snapToGrid/>
          <w:color w:val="auto"/>
          <w:lang w:eastAsia="zh-CN"/>
        </w:rPr>
        <w:br w:type="page"/>
      </w:r>
      <w:bookmarkStart w:id="468" w:name="_Toc6131"/>
      <w:r>
        <w:rPr>
          <w:rFonts w:ascii="宋体" w:hAnsi="宋体" w:eastAsia="宋体" w:cs="Times New Roman"/>
          <w:b/>
          <w:snapToGrid/>
          <w:color w:val="auto"/>
          <w:lang w:eastAsia="zh-CN"/>
        </w:rPr>
        <w:t>第三部分　专用条件</w:t>
      </w:r>
      <w:bookmarkEnd w:id="468"/>
    </w:p>
    <w:p w14:paraId="1D8AC6B6">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469" w:name="_Toc21694043"/>
      <w:bookmarkStart w:id="470" w:name="_Toc511223091"/>
      <w:bookmarkStart w:id="471" w:name="_Toc29056532"/>
      <w:bookmarkStart w:id="472" w:name="_Toc419045099"/>
      <w:bookmarkStart w:id="473" w:name="_Toc22457"/>
      <w:bookmarkStart w:id="474" w:name="_Toc511223364"/>
      <w:r>
        <w:rPr>
          <w:rFonts w:ascii="宋体" w:hAnsi="宋体" w:eastAsia="宋体" w:cs="Times New Roman"/>
          <w:b/>
          <w:snapToGrid/>
          <w:color w:val="auto"/>
          <w:lang w:eastAsia="zh-CN"/>
        </w:rPr>
        <w:t>1.词语定义、语言、解释顺序与适用法律</w:t>
      </w:r>
      <w:bookmarkEnd w:id="469"/>
      <w:bookmarkEnd w:id="470"/>
      <w:bookmarkEnd w:id="471"/>
      <w:bookmarkEnd w:id="472"/>
      <w:bookmarkEnd w:id="473"/>
      <w:bookmarkEnd w:id="474"/>
    </w:p>
    <w:p w14:paraId="6FF5F03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bookmarkStart w:id="475" w:name="_Toc511223365"/>
      <w:bookmarkStart w:id="476" w:name="_Toc511223092"/>
      <w:bookmarkStart w:id="477" w:name="_Toc21694044"/>
      <w:bookmarkStart w:id="478" w:name="_Toc419045101"/>
      <w:r>
        <w:rPr>
          <w:rFonts w:ascii="Calibri" w:hAnsi="宋体" w:eastAsia="宋体" w:cs="Times New Roman"/>
          <w:bCs/>
          <w:snapToGrid/>
          <w:color w:val="auto"/>
          <w:kern w:val="2"/>
          <w:szCs w:val="20"/>
          <w:lang w:eastAsia="zh-CN"/>
        </w:rPr>
        <w:t>1.2 语言</w:t>
      </w:r>
      <w:bookmarkEnd w:id="475"/>
      <w:bookmarkEnd w:id="476"/>
      <w:bookmarkEnd w:id="477"/>
      <w:bookmarkEnd w:id="478"/>
    </w:p>
    <w:p w14:paraId="490D1505">
      <w:pPr>
        <w:widowControl w:val="0"/>
        <w:kinsoku/>
        <w:autoSpaceDE/>
        <w:autoSpaceDN/>
        <w:adjustRightInd/>
        <w:snapToGrid/>
        <w:spacing w:line="360" w:lineRule="auto"/>
        <w:ind w:left="420" w:leftChars="200" w:firstLine="42" w:firstLineChars="20"/>
        <w:contextualSpacing/>
        <w:jc w:val="both"/>
        <w:textAlignment w:val="auto"/>
        <w:rPr>
          <w:rFonts w:ascii="Calibri Light" w:hAnsi="Calibri Light" w:eastAsia="宋体" w:cs="Times New Roman"/>
          <w:bCs/>
          <w:snapToGrid/>
          <w:color w:val="auto"/>
          <w:kern w:val="28"/>
          <w:sz w:val="32"/>
          <w:lang w:eastAsia="zh-CN"/>
        </w:rPr>
      </w:pPr>
      <w:r>
        <w:rPr>
          <w:rFonts w:ascii="Calibri" w:hAnsi="宋体" w:eastAsia="宋体" w:cs="Times New Roman"/>
          <w:snapToGrid/>
          <w:color w:val="auto"/>
          <w:kern w:val="2"/>
          <w:lang w:eastAsia="zh-CN"/>
        </w:rPr>
        <w:t>本合同文件除使用中文外，还可用</w:t>
      </w:r>
      <w:r>
        <w:rPr>
          <w:rFonts w:ascii="Calibri" w:hAnsi="Calibri" w:eastAsia="宋体" w:cs="Times New Roman"/>
          <w:snapToGrid/>
          <w:color w:val="auto"/>
          <w:kern w:val="2"/>
          <w:u w:val="single"/>
          <w:lang w:eastAsia="zh-CN"/>
        </w:rPr>
        <w:t xml:space="preserve">    /    </w:t>
      </w:r>
      <w:r>
        <w:rPr>
          <w:rFonts w:ascii="Calibri" w:hAnsi="宋体" w:eastAsia="宋体" w:cs="Times New Roman"/>
          <w:snapToGrid/>
          <w:color w:val="auto"/>
          <w:kern w:val="2"/>
          <w:lang w:eastAsia="zh-CN"/>
        </w:rPr>
        <w:t>。</w:t>
      </w:r>
    </w:p>
    <w:p w14:paraId="15EC2CB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bookmarkStart w:id="479" w:name="_Toc511223366"/>
      <w:bookmarkStart w:id="480" w:name="_Toc511223093"/>
      <w:bookmarkStart w:id="481" w:name="_Toc21694045"/>
      <w:r>
        <w:rPr>
          <w:rFonts w:ascii="Calibri" w:hAnsi="宋体" w:eastAsia="宋体" w:cs="Times New Roman"/>
          <w:bCs/>
          <w:snapToGrid/>
          <w:color w:val="auto"/>
          <w:kern w:val="2"/>
          <w:szCs w:val="20"/>
          <w:lang w:eastAsia="zh-CN"/>
        </w:rPr>
        <w:t>1.3合同文件的优先顺序</w:t>
      </w:r>
      <w:bookmarkEnd w:id="479"/>
      <w:bookmarkEnd w:id="480"/>
      <w:bookmarkEnd w:id="481"/>
    </w:p>
    <w:p w14:paraId="207C68C3">
      <w:pPr>
        <w:widowControl w:val="0"/>
        <w:kinsoku/>
        <w:autoSpaceDE/>
        <w:autoSpaceDN/>
        <w:adjustRightInd/>
        <w:snapToGrid/>
        <w:spacing w:line="360" w:lineRule="auto"/>
        <w:ind w:firstLine="420" w:firstLineChars="200"/>
        <w:jc w:val="both"/>
        <w:textAlignment w:val="auto"/>
        <w:rPr>
          <w:rFonts w:ascii="Calibri" w:hAnsi="Calibri" w:eastAsia="宋体" w:cs="Times New Roman"/>
          <w:b/>
          <w:snapToGrid/>
          <w:color w:val="auto"/>
          <w:kern w:val="2"/>
          <w:szCs w:val="20"/>
          <w:lang w:eastAsia="zh-CN"/>
        </w:rPr>
      </w:pPr>
      <w:bookmarkStart w:id="482" w:name="_Toc511223094"/>
      <w:bookmarkStart w:id="483" w:name="_Toc511223367"/>
      <w:r>
        <w:rPr>
          <w:rFonts w:ascii="Calibri" w:hAnsi="Calibri" w:eastAsia="宋体" w:cs="Times New Roman"/>
          <w:snapToGrid/>
          <w:color w:val="auto"/>
          <w:kern w:val="2"/>
          <w:szCs w:val="20"/>
          <w:lang w:eastAsia="zh-CN"/>
        </w:rPr>
        <w:t>本合同文件的解释顺序为：</w:t>
      </w:r>
      <w:r>
        <w:rPr>
          <w:rFonts w:ascii="Calibri" w:hAnsi="Calibri" w:eastAsia="宋体" w:cs="Times New Roman"/>
          <w:snapToGrid/>
          <w:color w:val="auto"/>
          <w:kern w:val="2"/>
          <w:u w:val="single"/>
          <w:lang w:eastAsia="zh-CN"/>
        </w:rPr>
        <w:t>（1）本合同、（2）中标通知书、（3）询标答复、（4）招标补充文件、（5）招标文件、（6）投标文件</w:t>
      </w:r>
      <w:r>
        <w:rPr>
          <w:rFonts w:ascii="Calibri" w:hAnsi="Calibri" w:eastAsia="宋体" w:cs="Times New Roman"/>
          <w:snapToGrid/>
          <w:color w:val="auto"/>
          <w:kern w:val="2"/>
          <w:szCs w:val="20"/>
          <w:lang w:eastAsia="zh-CN"/>
        </w:rPr>
        <w:t>。</w:t>
      </w:r>
      <w:bookmarkEnd w:id="482"/>
      <w:bookmarkEnd w:id="483"/>
    </w:p>
    <w:p w14:paraId="5FCBB31D">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484" w:name="_Toc21694046"/>
      <w:bookmarkStart w:id="485" w:name="_Toc419045102"/>
      <w:bookmarkStart w:id="486" w:name="_Toc511223368"/>
      <w:bookmarkStart w:id="487" w:name="_Toc511223095"/>
      <w:r>
        <w:rPr>
          <w:rFonts w:ascii="Calibri" w:hAnsi="宋体" w:eastAsia="宋体" w:cs="Times New Roman"/>
          <w:snapToGrid/>
          <w:color w:val="auto"/>
          <w:kern w:val="2"/>
          <w:szCs w:val="20"/>
          <w:lang w:eastAsia="zh-CN"/>
        </w:rPr>
        <w:t>1.4适用法律</w:t>
      </w:r>
      <w:bookmarkEnd w:id="484"/>
      <w:bookmarkEnd w:id="485"/>
      <w:bookmarkEnd w:id="486"/>
      <w:bookmarkEnd w:id="487"/>
    </w:p>
    <w:p w14:paraId="24A35B2B">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本合同适用的其他规范性文件包括</w:t>
      </w:r>
      <w:r>
        <w:rPr>
          <w:rFonts w:ascii="Calibri" w:hAnsi="Calibri" w:eastAsia="宋体" w:cs="Times New Roman"/>
          <w:snapToGrid/>
          <w:color w:val="auto"/>
          <w:kern w:val="2"/>
          <w:lang w:eastAsia="zh-CN"/>
        </w:rPr>
        <w:t>：</w:t>
      </w:r>
      <w:r>
        <w:rPr>
          <w:rFonts w:ascii="Calibri" w:hAnsi="Calibri" w:eastAsia="宋体" w:cs="Times New Roman"/>
          <w:snapToGrid/>
          <w:color w:val="auto"/>
          <w:kern w:val="2"/>
          <w:u w:val="single"/>
          <w:lang w:eastAsia="zh-CN"/>
        </w:rPr>
        <w:t xml:space="preserve">   本合同适用中华人民共和国法律、行政法规、部门规章以及工程所在地的地方性法规和地方政府规章等   </w:t>
      </w:r>
      <w:r>
        <w:rPr>
          <w:rFonts w:ascii="Calibri" w:hAnsi="宋体" w:eastAsia="宋体" w:cs="Times New Roman"/>
          <w:snapToGrid/>
          <w:color w:val="auto"/>
          <w:kern w:val="2"/>
          <w:lang w:eastAsia="zh-CN"/>
        </w:rPr>
        <w:t>。</w:t>
      </w:r>
    </w:p>
    <w:p w14:paraId="29ED4F39">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488" w:name="_Toc29056533"/>
      <w:bookmarkStart w:id="489" w:name="_Toc419045103"/>
      <w:bookmarkStart w:id="490" w:name="_Toc511223096"/>
      <w:bookmarkStart w:id="491" w:name="_Toc7543"/>
      <w:bookmarkStart w:id="492" w:name="_Toc21694047"/>
      <w:bookmarkStart w:id="493" w:name="_Toc511223369"/>
      <w:r>
        <w:rPr>
          <w:rFonts w:ascii="宋体" w:hAnsi="宋体" w:eastAsia="宋体" w:cs="Times New Roman"/>
          <w:b/>
          <w:snapToGrid/>
          <w:color w:val="auto"/>
          <w:lang w:eastAsia="zh-CN"/>
        </w:rPr>
        <w:t>2.委托人的义务</w:t>
      </w:r>
      <w:bookmarkEnd w:id="488"/>
      <w:bookmarkEnd w:id="489"/>
      <w:bookmarkEnd w:id="490"/>
      <w:bookmarkEnd w:id="491"/>
      <w:bookmarkEnd w:id="492"/>
      <w:bookmarkEnd w:id="493"/>
    </w:p>
    <w:p w14:paraId="100505F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bookmarkStart w:id="494" w:name="_Toc511223097"/>
      <w:bookmarkStart w:id="495" w:name="_Toc21694048"/>
      <w:bookmarkStart w:id="496" w:name="_Toc419045104"/>
      <w:bookmarkStart w:id="497" w:name="_Toc511223370"/>
      <w:r>
        <w:rPr>
          <w:rFonts w:ascii="Calibri" w:hAnsi="宋体" w:eastAsia="宋体" w:cs="Times New Roman"/>
          <w:bCs/>
          <w:snapToGrid/>
          <w:color w:val="auto"/>
          <w:kern w:val="2"/>
          <w:szCs w:val="20"/>
          <w:lang w:eastAsia="zh-CN"/>
        </w:rPr>
        <w:t>2.1提供资料</w:t>
      </w:r>
      <w:bookmarkEnd w:id="494"/>
      <w:bookmarkEnd w:id="495"/>
      <w:bookmarkEnd w:id="496"/>
      <w:bookmarkEnd w:id="497"/>
    </w:p>
    <w:p w14:paraId="2BC1A5ED">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委托人无偿向受托人提供与本合同咨询业务有关资料的时间为：</w:t>
      </w:r>
      <w:r>
        <w:rPr>
          <w:rFonts w:ascii="Calibri" w:hAnsi="宋体" w:eastAsia="宋体" w:cs="Times New Roman"/>
          <w:snapToGrid/>
          <w:color w:val="auto"/>
          <w:kern w:val="2"/>
          <w:u w:val="single"/>
          <w:lang w:eastAsia="zh-CN"/>
        </w:rPr>
        <w:t xml:space="preserve">  </w:t>
      </w:r>
      <w:r>
        <w:rPr>
          <w:rFonts w:ascii="Calibri" w:hAnsi="Calibri" w:eastAsia="宋体" w:cs="Times New Roman"/>
          <w:snapToGrid/>
          <w:color w:val="auto"/>
          <w:kern w:val="2"/>
          <w:u w:val="single"/>
          <w:lang w:eastAsia="zh-CN"/>
        </w:rPr>
        <w:t xml:space="preserve">项目实施过程中  </w:t>
      </w:r>
      <w:r>
        <w:rPr>
          <w:rFonts w:ascii="Calibri" w:hAnsi="宋体" w:eastAsia="宋体" w:cs="Times New Roman"/>
          <w:snapToGrid/>
          <w:color w:val="auto"/>
          <w:kern w:val="2"/>
          <w:lang w:eastAsia="zh-CN"/>
        </w:rPr>
        <w:t>。</w:t>
      </w:r>
    </w:p>
    <w:p w14:paraId="3F07317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bookmarkStart w:id="498" w:name="_Toc511223371"/>
      <w:bookmarkStart w:id="499" w:name="_Toc21694049"/>
      <w:bookmarkStart w:id="500" w:name="_Toc419045105"/>
      <w:bookmarkStart w:id="501" w:name="_Toc511223098"/>
      <w:r>
        <w:rPr>
          <w:rFonts w:ascii="Calibri" w:hAnsi="宋体" w:eastAsia="宋体" w:cs="Times New Roman"/>
          <w:bCs/>
          <w:snapToGrid/>
          <w:color w:val="auto"/>
          <w:kern w:val="2"/>
          <w:szCs w:val="20"/>
          <w:lang w:eastAsia="zh-CN"/>
        </w:rPr>
        <w:t>2.2提供工作条件</w:t>
      </w:r>
      <w:bookmarkEnd w:id="498"/>
      <w:bookmarkEnd w:id="499"/>
      <w:bookmarkEnd w:id="500"/>
      <w:bookmarkEnd w:id="501"/>
    </w:p>
    <w:p w14:paraId="120271B0">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2.2.1</w:t>
      </w:r>
      <w:r>
        <w:rPr>
          <w:rFonts w:ascii="Calibri" w:hAnsi="宋体" w:eastAsia="宋体" w:cs="Times New Roman"/>
          <w:snapToGrid/>
          <w:color w:val="auto"/>
          <w:kern w:val="2"/>
          <w:lang w:eastAsia="zh-CN"/>
        </w:rPr>
        <w:t>项目受托人员使用由委托人提供的房屋及设备，支付使用费的标准为：</w:t>
      </w:r>
      <w:r>
        <w:rPr>
          <w:rFonts w:ascii="Calibri" w:hAnsi="宋体" w:eastAsia="宋体" w:cs="Times New Roman"/>
          <w:b/>
          <w:bCs/>
          <w:snapToGrid/>
          <w:color w:val="auto"/>
          <w:kern w:val="2"/>
          <w:u w:val="single"/>
          <w:lang w:eastAsia="zh-CN"/>
        </w:rPr>
        <w:t xml:space="preserve">/ </w:t>
      </w:r>
      <w:r>
        <w:rPr>
          <w:rFonts w:ascii="Calibri" w:hAnsi="宋体" w:eastAsia="宋体" w:cs="Times New Roman"/>
          <w:snapToGrid/>
          <w:color w:val="auto"/>
          <w:kern w:val="2"/>
          <w:lang w:eastAsia="zh-CN"/>
        </w:rPr>
        <w:t>。</w:t>
      </w:r>
    </w:p>
    <w:p w14:paraId="02D02849">
      <w:pPr>
        <w:widowControl w:val="0"/>
        <w:kinsoku/>
        <w:autoSpaceDE/>
        <w:autoSpaceDN/>
        <w:adjustRightInd/>
        <w:snapToGrid/>
        <w:spacing w:line="360" w:lineRule="auto"/>
        <w:ind w:left="420" w:leftChars="200"/>
        <w:contextualSpacing/>
        <w:jc w:val="both"/>
        <w:textAlignment w:val="auto"/>
        <w:rPr>
          <w:rFonts w:ascii="Calibri Light" w:hAnsi="Calibri Light" w:eastAsia="宋体" w:cs="Times New Roman"/>
          <w:bCs/>
          <w:snapToGrid/>
          <w:color w:val="auto"/>
          <w:kern w:val="28"/>
          <w:sz w:val="32"/>
          <w:lang w:eastAsia="zh-CN"/>
        </w:rPr>
      </w:pPr>
      <w:bookmarkStart w:id="502" w:name="_Toc21694050"/>
      <w:bookmarkStart w:id="503" w:name="_Toc511223372"/>
      <w:bookmarkStart w:id="504" w:name="_Toc419045106"/>
      <w:bookmarkStart w:id="505" w:name="_Toc511223099"/>
      <w:r>
        <w:rPr>
          <w:rFonts w:ascii="Calibri" w:hAnsi="宋体" w:eastAsia="宋体" w:cs="Times New Roman"/>
          <w:bCs/>
          <w:snapToGrid/>
          <w:color w:val="auto"/>
          <w:kern w:val="2"/>
          <w:szCs w:val="20"/>
          <w:lang w:eastAsia="zh-CN"/>
        </w:rPr>
        <w:t>2.4委托人代表</w:t>
      </w:r>
      <w:bookmarkEnd w:id="502"/>
      <w:bookmarkEnd w:id="503"/>
      <w:bookmarkEnd w:id="504"/>
      <w:bookmarkEnd w:id="505"/>
      <w:r>
        <w:rPr>
          <w:rFonts w:ascii="Calibri" w:hAnsi="宋体" w:eastAsia="宋体" w:cs="Times New Roman"/>
          <w:snapToGrid/>
          <w:color w:val="auto"/>
          <w:kern w:val="2"/>
          <w:szCs w:val="20"/>
          <w:lang w:eastAsia="zh-CN"/>
        </w:rPr>
        <w:br w:type="textWrapping"/>
      </w:r>
      <w:r>
        <w:rPr>
          <w:rFonts w:ascii="Calibri" w:hAnsi="宋体" w:eastAsia="宋体" w:cs="Times New Roman"/>
          <w:snapToGrid/>
          <w:color w:val="auto"/>
          <w:kern w:val="2"/>
          <w:lang w:eastAsia="zh-CN"/>
        </w:rPr>
        <w:t>委托人代表为：</w:t>
      </w:r>
      <w:r>
        <w:rPr>
          <w:rFonts w:hint="eastAsia" w:ascii="Calibri" w:hAnsi="Calibri" w:eastAsia="宋体" w:cs="Times New Roman"/>
          <w:snapToGrid/>
          <w:color w:val="auto"/>
          <w:kern w:val="2"/>
          <w:u w:val="single"/>
          <w:lang w:eastAsia="zh-CN"/>
        </w:rPr>
        <w:t xml:space="preserve">               </w:t>
      </w:r>
      <w:r>
        <w:rPr>
          <w:rFonts w:ascii="Calibri" w:hAnsi="Calibri" w:eastAsia="宋体" w:cs="Times New Roman"/>
          <w:snapToGrid/>
          <w:color w:val="auto"/>
          <w:kern w:val="2"/>
          <w:u w:val="single"/>
          <w:lang w:eastAsia="zh-CN"/>
        </w:rPr>
        <w:t xml:space="preserve"> </w:t>
      </w:r>
      <w:r>
        <w:rPr>
          <w:rFonts w:ascii="Calibri" w:hAnsi="宋体" w:eastAsia="宋体" w:cs="Times New Roman"/>
          <w:snapToGrid/>
          <w:color w:val="auto"/>
          <w:kern w:val="2"/>
          <w:lang w:eastAsia="zh-CN"/>
        </w:rPr>
        <w:t>，其权限范围：</w:t>
      </w:r>
      <w:r>
        <w:rPr>
          <w:rFonts w:ascii="Calibri" w:hAnsi="宋体" w:eastAsia="宋体" w:cs="Times New Roman"/>
          <w:snapToGrid/>
          <w:color w:val="auto"/>
          <w:kern w:val="2"/>
          <w:u w:val="single"/>
          <w:lang w:eastAsia="zh-CN"/>
        </w:rPr>
        <w:t xml:space="preserve">  </w:t>
      </w:r>
      <w:r>
        <w:rPr>
          <w:rFonts w:ascii="Calibri" w:hAnsi="Calibri" w:eastAsia="宋体" w:cs="Times New Roman"/>
          <w:snapToGrid/>
          <w:color w:val="auto"/>
          <w:kern w:val="2"/>
          <w:u w:val="single"/>
          <w:lang w:eastAsia="zh-CN"/>
        </w:rPr>
        <w:t xml:space="preserve">全面负责本项目的工作  </w:t>
      </w:r>
      <w:r>
        <w:rPr>
          <w:rFonts w:ascii="Calibri" w:hAnsi="宋体" w:eastAsia="宋体" w:cs="Times New Roman"/>
          <w:snapToGrid/>
          <w:color w:val="auto"/>
          <w:kern w:val="2"/>
          <w:lang w:eastAsia="zh-CN"/>
        </w:rPr>
        <w:t>。</w:t>
      </w:r>
    </w:p>
    <w:p w14:paraId="06A6269B">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06" w:name="_Toc21694051"/>
      <w:bookmarkStart w:id="507" w:name="_Toc511223100"/>
      <w:bookmarkStart w:id="508" w:name="_Toc511223373"/>
      <w:r>
        <w:rPr>
          <w:rFonts w:ascii="Calibri" w:hAnsi="宋体" w:eastAsia="宋体" w:cs="Times New Roman"/>
          <w:snapToGrid/>
          <w:color w:val="auto"/>
          <w:kern w:val="2"/>
          <w:szCs w:val="20"/>
          <w:lang w:eastAsia="zh-CN"/>
        </w:rPr>
        <w:t>2.5答复</w:t>
      </w:r>
      <w:bookmarkEnd w:id="506"/>
      <w:bookmarkEnd w:id="507"/>
      <w:bookmarkEnd w:id="508"/>
    </w:p>
    <w:p w14:paraId="2F23B0A0">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委托人同意在</w:t>
      </w:r>
      <w:r>
        <w:rPr>
          <w:rFonts w:ascii="Calibri" w:hAnsi="Calibri" w:eastAsia="宋体" w:cs="Times New Roman"/>
          <w:snapToGrid/>
          <w:color w:val="auto"/>
          <w:kern w:val="2"/>
          <w:u w:val="single"/>
          <w:lang w:eastAsia="zh-CN"/>
        </w:rPr>
        <w:t xml:space="preserve">  7  </w:t>
      </w:r>
      <w:r>
        <w:rPr>
          <w:rFonts w:ascii="Calibri" w:hAnsi="宋体" w:eastAsia="宋体" w:cs="Times New Roman"/>
          <w:snapToGrid/>
          <w:color w:val="auto"/>
          <w:kern w:val="2"/>
          <w:lang w:eastAsia="zh-CN"/>
        </w:rPr>
        <w:t>日内，对受托人书面提交并要求做出决定的事宜给予书面答复。逾期未答复的，视为委托人认可。</w:t>
      </w:r>
    </w:p>
    <w:p w14:paraId="073BA9F5">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509" w:name="_Toc419045107"/>
      <w:bookmarkStart w:id="510" w:name="_Toc511223101"/>
      <w:bookmarkStart w:id="511" w:name="_Toc511223374"/>
      <w:bookmarkStart w:id="512" w:name="_Toc29056534"/>
      <w:bookmarkStart w:id="513" w:name="_Toc22010"/>
      <w:bookmarkStart w:id="514" w:name="_Toc21694052"/>
      <w:r>
        <w:rPr>
          <w:rFonts w:ascii="宋体" w:hAnsi="宋体" w:eastAsia="宋体" w:cs="Times New Roman"/>
          <w:b/>
          <w:snapToGrid/>
          <w:color w:val="auto"/>
          <w:lang w:eastAsia="zh-CN"/>
        </w:rPr>
        <w:t>3.受托人的义务</w:t>
      </w:r>
      <w:bookmarkEnd w:id="509"/>
      <w:bookmarkEnd w:id="510"/>
      <w:bookmarkEnd w:id="511"/>
      <w:bookmarkEnd w:id="512"/>
      <w:bookmarkEnd w:id="513"/>
      <w:bookmarkEnd w:id="514"/>
    </w:p>
    <w:p w14:paraId="16F3DD4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15" w:name="_Toc21694053"/>
      <w:bookmarkStart w:id="516" w:name="_Toc419045109"/>
      <w:bookmarkStart w:id="517" w:name="_Toc511223375"/>
      <w:bookmarkStart w:id="518" w:name="_Toc511223102"/>
      <w:r>
        <w:rPr>
          <w:rFonts w:ascii="Calibri" w:hAnsi="宋体" w:eastAsia="宋体" w:cs="Times New Roman"/>
          <w:snapToGrid/>
          <w:color w:val="auto"/>
          <w:kern w:val="2"/>
          <w:szCs w:val="20"/>
          <w:lang w:eastAsia="zh-CN"/>
        </w:rPr>
        <w:t>3.1项目咨询团队及人员</w:t>
      </w:r>
      <w:bookmarkEnd w:id="515"/>
      <w:bookmarkEnd w:id="516"/>
      <w:bookmarkEnd w:id="517"/>
      <w:bookmarkEnd w:id="518"/>
    </w:p>
    <w:p w14:paraId="247DCB7F">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3.1.1</w:t>
      </w:r>
      <w:r>
        <w:rPr>
          <w:rFonts w:ascii="Calibri" w:hAnsi="宋体" w:eastAsia="宋体" w:cs="Times New Roman"/>
          <w:snapToGrid/>
          <w:color w:val="auto"/>
          <w:kern w:val="2"/>
          <w:lang w:eastAsia="zh-CN"/>
        </w:rPr>
        <w:t>项目咨询团队的主要人员应具有</w:t>
      </w:r>
      <w:r>
        <w:rPr>
          <w:rFonts w:ascii="Calibri" w:hAnsi="Calibri" w:eastAsia="宋体" w:cs="Times New Roman"/>
          <w:snapToGrid/>
          <w:color w:val="auto"/>
          <w:kern w:val="2"/>
          <w:u w:val="single"/>
          <w:lang w:eastAsia="zh-CN"/>
        </w:rPr>
        <w:t xml:space="preserve">  从事相应造价专业  </w:t>
      </w:r>
      <w:r>
        <w:rPr>
          <w:rFonts w:ascii="Calibri" w:hAnsi="宋体" w:eastAsia="宋体" w:cs="Times New Roman"/>
          <w:snapToGrid/>
          <w:color w:val="auto"/>
          <w:kern w:val="2"/>
          <w:lang w:eastAsia="zh-CN"/>
        </w:rPr>
        <w:t>资格条件，团队人员的数量为</w:t>
      </w:r>
      <w:r>
        <w:rPr>
          <w:rFonts w:ascii="Calibri" w:hAnsi="Calibri" w:eastAsia="宋体" w:cs="Times New Roman"/>
          <w:snapToGrid/>
          <w:color w:val="auto"/>
          <w:kern w:val="2"/>
          <w:u w:val="single"/>
          <w:lang w:eastAsia="zh-CN"/>
        </w:rPr>
        <w:t xml:space="preserve">    </w:t>
      </w:r>
      <w:r>
        <w:rPr>
          <w:rFonts w:ascii="Calibri" w:hAnsi="宋体" w:eastAsia="宋体" w:cs="Times New Roman"/>
          <w:snapToGrid/>
          <w:color w:val="auto"/>
          <w:kern w:val="2"/>
          <w:lang w:eastAsia="zh-CN"/>
        </w:rPr>
        <w:t>人。</w:t>
      </w:r>
    </w:p>
    <w:p w14:paraId="08F49447">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3.1.2</w:t>
      </w:r>
      <w:r>
        <w:rPr>
          <w:rFonts w:ascii="Calibri" w:hAnsi="宋体" w:eastAsia="宋体" w:cs="Times New Roman"/>
          <w:snapToGrid/>
          <w:color w:val="auto"/>
          <w:kern w:val="2"/>
          <w:lang w:eastAsia="zh-CN"/>
        </w:rPr>
        <w:t>项目负责人为：</w:t>
      </w:r>
      <w:r>
        <w:rPr>
          <w:rFonts w:hint="eastAsia" w:ascii="Calibri" w:hAnsi="宋体" w:eastAsia="宋体" w:cs="Times New Roman"/>
          <w:snapToGrid/>
          <w:color w:val="auto"/>
          <w:kern w:val="2"/>
          <w:u w:val="single"/>
          <w:lang w:eastAsia="zh-CN"/>
        </w:rPr>
        <w:t xml:space="preserve">       </w:t>
      </w:r>
      <w:r>
        <w:rPr>
          <w:rFonts w:ascii="Calibri" w:hAnsi="宋体" w:eastAsia="宋体" w:cs="Times New Roman"/>
          <w:snapToGrid/>
          <w:color w:val="auto"/>
          <w:kern w:val="2"/>
          <w:lang w:eastAsia="zh-CN"/>
        </w:rPr>
        <w:t>，项目负责人为履行本合同的权限为：</w:t>
      </w:r>
      <w:r>
        <w:rPr>
          <w:rFonts w:ascii="Calibri" w:hAnsi="Calibri" w:eastAsia="宋体" w:cs="Times New Roman"/>
          <w:snapToGrid/>
          <w:color w:val="auto"/>
          <w:kern w:val="2"/>
          <w:u w:val="single"/>
          <w:lang w:eastAsia="zh-CN"/>
        </w:rPr>
        <w:t>负责履行本合同、主持项目咨询团队工作</w:t>
      </w:r>
      <w:r>
        <w:rPr>
          <w:rFonts w:ascii="Calibri" w:hAnsi="宋体" w:eastAsia="宋体" w:cs="Times New Roman"/>
          <w:snapToGrid/>
          <w:color w:val="auto"/>
          <w:kern w:val="2"/>
          <w:lang w:eastAsia="zh-CN"/>
        </w:rPr>
        <w:t>。</w:t>
      </w:r>
    </w:p>
    <w:p w14:paraId="29E92E6A">
      <w:pPr>
        <w:kinsoku/>
        <w:autoSpaceDE/>
        <w:autoSpaceDN/>
        <w:adjustRightInd/>
        <w:snapToGrid/>
        <w:spacing w:line="360" w:lineRule="auto"/>
        <w:ind w:firstLine="420" w:firstLineChars="200"/>
        <w:contextualSpacing/>
        <w:textAlignment w:val="auto"/>
        <w:rPr>
          <w:rFonts w:ascii="Calibri" w:hAnsi="Calibri" w:eastAsia="宋体" w:cs="Times New Roman"/>
          <w:snapToGrid/>
          <w:color w:val="auto"/>
          <w:szCs w:val="20"/>
          <w:lang w:eastAsia="zh-CN"/>
        </w:rPr>
      </w:pPr>
      <w:r>
        <w:rPr>
          <w:rFonts w:ascii="Calibri" w:hAnsi="Calibri" w:eastAsia="宋体" w:cs="Times New Roman"/>
          <w:snapToGrid/>
          <w:color w:val="auto"/>
          <w:szCs w:val="20"/>
          <w:lang w:eastAsia="zh-CN"/>
        </w:rPr>
        <w:t>3.1.3</w:t>
      </w:r>
      <w:r>
        <w:rPr>
          <w:rFonts w:ascii="Calibri" w:hAnsi="宋体" w:eastAsia="宋体" w:cs="Times New Roman"/>
          <w:snapToGrid/>
          <w:color w:val="auto"/>
          <w:szCs w:val="20"/>
          <w:lang w:eastAsia="zh-CN"/>
        </w:rPr>
        <w:t>受托人更换项目咨询团队其他受托人员的约定：</w:t>
      </w:r>
      <w:r>
        <w:rPr>
          <w:rFonts w:ascii="Calibri" w:hAnsi="Calibri" w:eastAsia="宋体" w:cs="Times New Roman"/>
          <w:snapToGrid/>
          <w:color w:val="auto"/>
          <w:u w:val="single"/>
          <w:lang w:eastAsia="zh-CN"/>
        </w:rPr>
        <w:t xml:space="preserve">   按《通用条款执行》   </w:t>
      </w:r>
      <w:r>
        <w:rPr>
          <w:rFonts w:ascii="Calibri" w:hAnsi="宋体" w:eastAsia="宋体" w:cs="Times New Roman"/>
          <w:snapToGrid/>
          <w:color w:val="auto"/>
          <w:szCs w:val="20"/>
          <w:lang w:eastAsia="zh-CN"/>
        </w:rPr>
        <w:t>。</w:t>
      </w:r>
    </w:p>
    <w:p w14:paraId="71A666B1">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3.1.4</w:t>
      </w:r>
      <w:r>
        <w:rPr>
          <w:rFonts w:ascii="Calibri" w:hAnsi="宋体" w:eastAsia="宋体" w:cs="Times New Roman"/>
          <w:snapToGrid/>
          <w:color w:val="auto"/>
          <w:kern w:val="2"/>
          <w:lang w:eastAsia="zh-CN"/>
        </w:rPr>
        <w:t>委托人要求更换受托人员的情形还包括：</w:t>
      </w:r>
      <w:r>
        <w:rPr>
          <w:rFonts w:ascii="Calibri" w:hAnsi="Calibri" w:eastAsia="宋体" w:cs="Times New Roman"/>
          <w:snapToGrid/>
          <w:color w:val="auto"/>
          <w:kern w:val="2"/>
          <w:u w:val="single"/>
          <w:lang w:eastAsia="zh-CN"/>
        </w:rPr>
        <w:t xml:space="preserve">   按《通用条款执行》   </w:t>
      </w:r>
      <w:r>
        <w:rPr>
          <w:rFonts w:ascii="Calibri" w:hAnsi="宋体" w:eastAsia="宋体" w:cs="Times New Roman"/>
          <w:snapToGrid/>
          <w:color w:val="auto"/>
          <w:kern w:val="2"/>
          <w:lang w:eastAsia="zh-CN"/>
        </w:rPr>
        <w:t>。</w:t>
      </w:r>
    </w:p>
    <w:p w14:paraId="17BE961E">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19" w:name="_Toc419045110"/>
      <w:bookmarkStart w:id="520" w:name="_Toc21694054"/>
      <w:bookmarkStart w:id="521" w:name="_Toc511223376"/>
      <w:bookmarkStart w:id="522" w:name="_Toc511223103"/>
      <w:r>
        <w:rPr>
          <w:rFonts w:ascii="Calibri" w:hAnsi="宋体" w:eastAsia="宋体" w:cs="Times New Roman"/>
          <w:snapToGrid/>
          <w:color w:val="auto"/>
          <w:kern w:val="2"/>
          <w:szCs w:val="20"/>
          <w:lang w:eastAsia="zh-CN"/>
        </w:rPr>
        <w:t>3.2受托人的工作要求</w:t>
      </w:r>
      <w:bookmarkEnd w:id="519"/>
      <w:bookmarkEnd w:id="520"/>
      <w:bookmarkEnd w:id="521"/>
      <w:bookmarkEnd w:id="522"/>
    </w:p>
    <w:p w14:paraId="0591B7DF">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3.2.1</w:t>
      </w:r>
      <w:r>
        <w:rPr>
          <w:rFonts w:ascii="Calibri" w:hAnsi="宋体" w:eastAsia="宋体" w:cs="Times New Roman"/>
          <w:snapToGrid/>
          <w:color w:val="auto"/>
          <w:kern w:val="2"/>
          <w:lang w:eastAsia="zh-CN"/>
        </w:rPr>
        <w:t>受托人向委托人提供有关资料的时间：</w:t>
      </w:r>
      <w:r>
        <w:rPr>
          <w:rFonts w:ascii="Calibri" w:hAnsi="Calibri" w:eastAsia="宋体" w:cs="Times New Roman"/>
          <w:snapToGrid/>
          <w:color w:val="auto"/>
          <w:kern w:val="2"/>
          <w:u w:val="single"/>
          <w:lang w:eastAsia="zh-CN"/>
        </w:rPr>
        <w:t xml:space="preserve">   合同签订后7个日历天内   </w:t>
      </w:r>
      <w:r>
        <w:rPr>
          <w:rFonts w:ascii="Calibri" w:hAnsi="宋体" w:eastAsia="宋体" w:cs="Times New Roman"/>
          <w:snapToGrid/>
          <w:color w:val="auto"/>
          <w:kern w:val="2"/>
          <w:lang w:eastAsia="zh-CN"/>
        </w:rPr>
        <w:t>。受托人向委托人提供的资料还包括：</w:t>
      </w:r>
      <w:r>
        <w:rPr>
          <w:rFonts w:ascii="Calibri" w:hAnsi="Calibri" w:eastAsia="宋体" w:cs="Times New Roman"/>
          <w:snapToGrid/>
          <w:color w:val="auto"/>
          <w:kern w:val="2"/>
          <w:u w:val="single"/>
          <w:lang w:eastAsia="zh-CN"/>
        </w:rPr>
        <w:t xml:space="preserve">   按《通用条款执行》   </w:t>
      </w:r>
      <w:r>
        <w:rPr>
          <w:rFonts w:ascii="Calibri" w:hAnsi="宋体" w:eastAsia="宋体" w:cs="Times New Roman"/>
          <w:snapToGrid/>
          <w:color w:val="auto"/>
          <w:kern w:val="2"/>
          <w:lang w:eastAsia="zh-CN"/>
        </w:rPr>
        <w:t>。</w:t>
      </w:r>
    </w:p>
    <w:p w14:paraId="4247979D">
      <w:pPr>
        <w:widowControl w:val="0"/>
        <w:kinsoku/>
        <w:autoSpaceDE/>
        <w:autoSpaceDN/>
        <w:adjustRightInd/>
        <w:snapToGrid/>
        <w:spacing w:line="360" w:lineRule="auto"/>
        <w:ind w:left="105" w:leftChars="50" w:firstLine="315" w:firstLineChars="15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3.2.2</w:t>
      </w:r>
      <w:r>
        <w:rPr>
          <w:rFonts w:ascii="Calibri" w:hAnsi="宋体" w:eastAsia="宋体" w:cs="Times New Roman"/>
          <w:snapToGrid/>
          <w:color w:val="auto"/>
          <w:kern w:val="2"/>
          <w:lang w:eastAsia="zh-CN"/>
        </w:rPr>
        <w:t>受托人向委托人提供咨询成果文件的名称、组成、时间、份数及质量标准：</w:t>
      </w:r>
      <w:r>
        <w:rPr>
          <w:rFonts w:ascii="Calibri" w:hAnsi="Calibri" w:eastAsia="宋体" w:cs="Times New Roman"/>
          <w:snapToGrid/>
          <w:color w:val="auto"/>
          <w:kern w:val="2"/>
          <w:u w:val="single"/>
          <w:lang w:eastAsia="zh-CN"/>
        </w:rPr>
        <w:t xml:space="preserve">  工作内容结束后，出具全过程造价控制成果报告一式三份  。</w:t>
      </w:r>
    </w:p>
    <w:p w14:paraId="4F904551">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szCs w:val="20"/>
          <w:lang w:eastAsia="zh-CN"/>
        </w:rPr>
      </w:pPr>
      <w:r>
        <w:rPr>
          <w:rFonts w:ascii="Calibri" w:hAnsi="Calibri" w:eastAsia="宋体" w:cs="Times New Roman"/>
          <w:snapToGrid/>
          <w:color w:val="auto"/>
          <w:kern w:val="2"/>
          <w:lang w:eastAsia="zh-CN"/>
        </w:rPr>
        <w:t>3.2.4</w:t>
      </w:r>
      <w:r>
        <w:rPr>
          <w:rFonts w:ascii="Calibri" w:hAnsi="宋体" w:eastAsia="宋体" w:cs="Times New Roman"/>
          <w:snapToGrid/>
          <w:color w:val="auto"/>
          <w:kern w:val="2"/>
          <w:lang w:eastAsia="zh-CN"/>
        </w:rPr>
        <w:t>受托人应在收到委托人以书面形式提出的建议或者异议后</w:t>
      </w:r>
      <w:r>
        <w:rPr>
          <w:rFonts w:ascii="Calibri" w:hAnsi="Calibri" w:eastAsia="宋体" w:cs="Times New Roman"/>
          <w:snapToGrid/>
          <w:color w:val="auto"/>
          <w:kern w:val="2"/>
          <w:u w:val="single"/>
          <w:lang w:eastAsia="zh-CN"/>
        </w:rPr>
        <w:t xml:space="preserve"> 7  </w:t>
      </w:r>
      <w:r>
        <w:rPr>
          <w:rFonts w:ascii="Calibri" w:hAnsi="宋体" w:eastAsia="宋体" w:cs="Times New Roman"/>
          <w:snapToGrid/>
          <w:color w:val="auto"/>
          <w:kern w:val="2"/>
          <w:lang w:eastAsia="zh-CN"/>
        </w:rPr>
        <w:t>日内给予书面答复。逾期未答复的，由此造成的工作延误和损失由受托人承担。</w:t>
      </w:r>
    </w:p>
    <w:p w14:paraId="6CC001C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23" w:name="_Toc511223104"/>
      <w:bookmarkStart w:id="524" w:name="_Toc419045111"/>
      <w:bookmarkStart w:id="525" w:name="_Toc21694055"/>
      <w:bookmarkStart w:id="526" w:name="_Toc511223377"/>
      <w:r>
        <w:rPr>
          <w:rFonts w:ascii="Calibri" w:hAnsi="宋体" w:eastAsia="宋体" w:cs="Times New Roman"/>
          <w:snapToGrid/>
          <w:color w:val="auto"/>
          <w:kern w:val="2"/>
          <w:szCs w:val="20"/>
          <w:lang w:eastAsia="zh-CN"/>
        </w:rPr>
        <w:t>3.3受托人的工作依据</w:t>
      </w:r>
      <w:bookmarkEnd w:id="523"/>
      <w:bookmarkEnd w:id="524"/>
      <w:bookmarkEnd w:id="525"/>
      <w:bookmarkEnd w:id="526"/>
    </w:p>
    <w:p w14:paraId="1D100DFA">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经双方协商，本合同约定的造价咨询服务适用的技术标准、规范、定额等工作依据为：</w:t>
      </w:r>
      <w:r>
        <w:rPr>
          <w:rFonts w:ascii="Calibri" w:hAnsi="Calibri" w:eastAsia="宋体" w:cs="Times New Roman"/>
          <w:snapToGrid/>
          <w:color w:val="auto"/>
          <w:kern w:val="2"/>
          <w:u w:val="single"/>
          <w:lang w:eastAsia="zh-CN"/>
        </w:rPr>
        <w:t xml:space="preserve">工程所在地的相关标准、规范等  </w:t>
      </w:r>
      <w:r>
        <w:rPr>
          <w:rFonts w:ascii="Calibri" w:hAnsi="宋体" w:eastAsia="宋体" w:cs="Times New Roman"/>
          <w:snapToGrid/>
          <w:color w:val="auto"/>
          <w:kern w:val="2"/>
          <w:lang w:eastAsia="zh-CN"/>
        </w:rPr>
        <w:t>。</w:t>
      </w:r>
    </w:p>
    <w:p w14:paraId="0BF4E09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27" w:name="_Toc511223378"/>
      <w:bookmarkStart w:id="528" w:name="_Toc511223105"/>
      <w:bookmarkStart w:id="529" w:name="_Toc419045112"/>
      <w:bookmarkStart w:id="530" w:name="_Toc21694056"/>
      <w:r>
        <w:rPr>
          <w:rFonts w:ascii="Calibri" w:hAnsi="宋体" w:eastAsia="宋体" w:cs="Times New Roman"/>
          <w:snapToGrid/>
          <w:color w:val="auto"/>
          <w:kern w:val="2"/>
          <w:szCs w:val="20"/>
          <w:lang w:eastAsia="zh-CN"/>
        </w:rPr>
        <w:t>3.4使用委托人房屋及设备的返还</w:t>
      </w:r>
      <w:bookmarkEnd w:id="527"/>
      <w:bookmarkEnd w:id="528"/>
      <w:bookmarkEnd w:id="529"/>
      <w:bookmarkEnd w:id="530"/>
    </w:p>
    <w:p w14:paraId="4C5930F0">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受托人应在本合同终止后</w:t>
      </w:r>
      <w:r>
        <w:rPr>
          <w:rFonts w:ascii="Calibri" w:hAnsi="Calibri" w:eastAsia="宋体" w:cs="Times New Roman"/>
          <w:snapToGrid/>
          <w:color w:val="auto"/>
          <w:kern w:val="2"/>
          <w:u w:val="single"/>
          <w:lang w:eastAsia="zh-CN"/>
        </w:rPr>
        <w:t xml:space="preserve"> 15  </w:t>
      </w:r>
      <w:r>
        <w:rPr>
          <w:rFonts w:ascii="Calibri" w:hAnsi="宋体" w:eastAsia="宋体" w:cs="Times New Roman"/>
          <w:snapToGrid/>
          <w:color w:val="auto"/>
          <w:kern w:val="2"/>
          <w:lang w:eastAsia="zh-CN"/>
        </w:rPr>
        <w:t>日内移交委托人提供的房屋及设备，移交的方式为</w:t>
      </w:r>
      <w:r>
        <w:rPr>
          <w:rFonts w:ascii="Calibri" w:hAnsi="宋体" w:eastAsia="宋体" w:cs="Times New Roman"/>
          <w:snapToGrid/>
          <w:color w:val="auto"/>
          <w:kern w:val="2"/>
          <w:u w:val="single"/>
          <w:lang w:eastAsia="zh-CN"/>
        </w:rPr>
        <w:t xml:space="preserve"> </w:t>
      </w:r>
      <w:r>
        <w:rPr>
          <w:rFonts w:ascii="Calibri" w:hAnsi="Calibri" w:eastAsia="宋体" w:cs="Times New Roman"/>
          <w:snapToGrid/>
          <w:color w:val="auto"/>
          <w:kern w:val="2"/>
          <w:u w:val="single"/>
          <w:lang w:eastAsia="zh-CN"/>
        </w:rPr>
        <w:t xml:space="preserve">协商 </w:t>
      </w:r>
      <w:r>
        <w:rPr>
          <w:rFonts w:ascii="Calibri" w:hAnsi="宋体" w:eastAsia="宋体" w:cs="Times New Roman"/>
          <w:snapToGrid/>
          <w:color w:val="auto"/>
          <w:kern w:val="2"/>
          <w:lang w:eastAsia="zh-CN"/>
        </w:rPr>
        <w:t>。</w:t>
      </w:r>
    </w:p>
    <w:p w14:paraId="14B73B7C">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531" w:name="_Toc1132"/>
      <w:bookmarkStart w:id="532" w:name="_Toc419045113"/>
      <w:bookmarkStart w:id="533" w:name="_Toc21694057"/>
      <w:bookmarkStart w:id="534" w:name="_Toc29056535"/>
      <w:bookmarkStart w:id="535" w:name="_Toc511223106"/>
      <w:bookmarkStart w:id="536" w:name="_Toc511223379"/>
      <w:r>
        <w:rPr>
          <w:rFonts w:ascii="宋体" w:hAnsi="宋体" w:eastAsia="宋体" w:cs="Times New Roman"/>
          <w:b/>
          <w:snapToGrid/>
          <w:color w:val="auto"/>
          <w:lang w:eastAsia="zh-CN"/>
        </w:rPr>
        <w:t>4. 违约责任</w:t>
      </w:r>
      <w:bookmarkEnd w:id="531"/>
      <w:bookmarkEnd w:id="532"/>
      <w:bookmarkEnd w:id="533"/>
      <w:bookmarkEnd w:id="534"/>
      <w:bookmarkEnd w:id="535"/>
      <w:bookmarkEnd w:id="536"/>
    </w:p>
    <w:p w14:paraId="5471C4C9">
      <w:pPr>
        <w:widowControl w:val="0"/>
        <w:kinsoku/>
        <w:snapToGrid/>
        <w:spacing w:before="240" w:line="360" w:lineRule="auto"/>
        <w:ind w:firstLine="422" w:firstLineChars="200"/>
        <w:textAlignment w:val="auto"/>
        <w:outlineLvl w:val="1"/>
        <w:rPr>
          <w:rFonts w:hint="eastAsia" w:ascii="Calibri" w:hAnsi="宋体" w:eastAsia="宋体" w:cs="Times New Roman"/>
          <w:b/>
          <w:bCs/>
          <w:snapToGrid/>
          <w:color w:val="auto"/>
          <w:kern w:val="2"/>
          <w:szCs w:val="20"/>
          <w:lang w:eastAsia="zh-CN"/>
        </w:rPr>
      </w:pPr>
      <w:bookmarkStart w:id="537" w:name="_Toc511223382"/>
      <w:bookmarkStart w:id="538" w:name="_Toc511223109"/>
      <w:bookmarkStart w:id="539" w:name="_Toc419045115"/>
      <w:bookmarkStart w:id="540" w:name="_Toc29056536"/>
      <w:bookmarkStart w:id="541" w:name="_Toc20878"/>
      <w:bookmarkStart w:id="542" w:name="_Toc21694060"/>
      <w:r>
        <w:rPr>
          <w:rFonts w:ascii="Calibri" w:hAnsi="宋体" w:eastAsia="宋体" w:cs="Times New Roman"/>
          <w:b/>
          <w:bCs/>
          <w:snapToGrid/>
          <w:color w:val="auto"/>
          <w:kern w:val="2"/>
          <w:szCs w:val="20"/>
          <w:lang w:eastAsia="zh-CN"/>
        </w:rPr>
        <w:t>4.1委托人的违约责任</w:t>
      </w:r>
    </w:p>
    <w:p w14:paraId="2B972A76">
      <w:pPr>
        <w:widowControl w:val="0"/>
        <w:kinsoku/>
        <w:snapToGrid/>
        <w:spacing w:before="240" w:line="360" w:lineRule="auto"/>
        <w:ind w:firstLine="422" w:firstLineChars="200"/>
        <w:textAlignment w:val="auto"/>
        <w:outlineLvl w:val="1"/>
        <w:rPr>
          <w:rFonts w:hint="eastAsia" w:ascii="Calibri" w:hAnsi="宋体" w:eastAsia="宋体" w:cs="Times New Roman"/>
          <w:b/>
          <w:bCs/>
          <w:snapToGrid/>
          <w:color w:val="auto"/>
          <w:kern w:val="2"/>
          <w:szCs w:val="20"/>
          <w:lang w:eastAsia="zh-CN"/>
        </w:rPr>
      </w:pPr>
      <w:r>
        <w:rPr>
          <w:rFonts w:ascii="Calibri" w:hAnsi="宋体" w:eastAsia="宋体" w:cs="Times New Roman"/>
          <w:b/>
          <w:bCs/>
          <w:snapToGrid/>
          <w:color w:val="auto"/>
          <w:kern w:val="2"/>
          <w:szCs w:val="20"/>
          <w:lang w:eastAsia="zh-CN"/>
        </w:rPr>
        <w:t>4.1.1委托人违约金的计算及支付方法：___/____。</w:t>
      </w:r>
    </w:p>
    <w:p w14:paraId="6144C9BB">
      <w:pPr>
        <w:widowControl w:val="0"/>
        <w:kinsoku/>
        <w:snapToGrid/>
        <w:spacing w:before="240" w:line="360" w:lineRule="auto"/>
        <w:ind w:firstLine="422" w:firstLineChars="200"/>
        <w:textAlignment w:val="auto"/>
        <w:outlineLvl w:val="1"/>
        <w:rPr>
          <w:rFonts w:hint="eastAsia" w:ascii="Calibri" w:hAnsi="宋体" w:eastAsia="宋体" w:cs="Times New Roman"/>
          <w:b/>
          <w:bCs/>
          <w:snapToGrid/>
          <w:color w:val="auto"/>
          <w:kern w:val="2"/>
          <w:szCs w:val="20"/>
          <w:lang w:eastAsia="zh-CN"/>
        </w:rPr>
      </w:pPr>
      <w:r>
        <w:rPr>
          <w:rFonts w:ascii="Calibri" w:hAnsi="宋体" w:eastAsia="宋体" w:cs="Times New Roman"/>
          <w:b/>
          <w:bCs/>
          <w:snapToGrid/>
          <w:color w:val="auto"/>
          <w:kern w:val="2"/>
          <w:szCs w:val="20"/>
          <w:lang w:eastAsia="zh-CN"/>
        </w:rPr>
        <w:t>4.1.2委托人赔偿金额按下列方法确定并支付：___/______。</w:t>
      </w:r>
    </w:p>
    <w:p w14:paraId="26FBF51C">
      <w:pPr>
        <w:widowControl w:val="0"/>
        <w:kinsoku/>
        <w:snapToGrid/>
        <w:spacing w:before="240" w:line="360" w:lineRule="auto"/>
        <w:ind w:firstLine="422" w:firstLineChars="200"/>
        <w:textAlignment w:val="auto"/>
        <w:outlineLvl w:val="1"/>
        <w:rPr>
          <w:rFonts w:hint="eastAsia" w:ascii="Calibri" w:hAnsi="宋体" w:eastAsia="宋体" w:cs="Times New Roman"/>
          <w:b/>
          <w:bCs/>
          <w:snapToGrid/>
          <w:color w:val="auto"/>
          <w:kern w:val="2"/>
          <w:szCs w:val="20"/>
          <w:lang w:eastAsia="zh-CN"/>
        </w:rPr>
      </w:pPr>
      <w:r>
        <w:rPr>
          <w:rFonts w:ascii="Calibri" w:hAnsi="宋体" w:eastAsia="宋体" w:cs="Times New Roman"/>
          <w:b/>
          <w:bCs/>
          <w:snapToGrid/>
          <w:color w:val="auto"/>
          <w:kern w:val="2"/>
          <w:szCs w:val="20"/>
          <w:lang w:eastAsia="zh-CN"/>
        </w:rPr>
        <w:t>4.1.3 委托人逾期付款利息按下列方法计算并支付：__/__。</w:t>
      </w:r>
    </w:p>
    <w:p w14:paraId="2AF6F569">
      <w:pPr>
        <w:widowControl w:val="0"/>
        <w:kinsoku/>
        <w:snapToGrid/>
        <w:spacing w:before="240" w:line="360" w:lineRule="auto"/>
        <w:ind w:firstLine="422" w:firstLineChars="200"/>
        <w:textAlignment w:val="auto"/>
        <w:outlineLvl w:val="1"/>
        <w:rPr>
          <w:rFonts w:hint="eastAsia" w:ascii="Calibri" w:hAnsi="宋体" w:eastAsia="宋体" w:cs="Times New Roman"/>
          <w:b/>
          <w:bCs/>
          <w:snapToGrid/>
          <w:color w:val="auto"/>
          <w:kern w:val="2"/>
          <w:szCs w:val="20"/>
          <w:lang w:eastAsia="zh-CN"/>
        </w:rPr>
      </w:pPr>
      <w:r>
        <w:rPr>
          <w:rFonts w:ascii="Calibri" w:hAnsi="宋体" w:eastAsia="宋体" w:cs="Times New Roman"/>
          <w:b/>
          <w:bCs/>
          <w:snapToGrid/>
          <w:color w:val="auto"/>
          <w:kern w:val="2"/>
          <w:szCs w:val="20"/>
          <w:lang w:eastAsia="zh-CN"/>
        </w:rPr>
        <w:t>4.2受托人的违约责任</w:t>
      </w:r>
    </w:p>
    <w:p w14:paraId="5F31867F">
      <w:pPr>
        <w:widowControl w:val="0"/>
        <w:kinsoku/>
        <w:snapToGrid/>
        <w:spacing w:before="240" w:line="360" w:lineRule="auto"/>
        <w:ind w:firstLine="422" w:firstLineChars="200"/>
        <w:textAlignment w:val="auto"/>
        <w:outlineLvl w:val="1"/>
        <w:rPr>
          <w:rFonts w:hint="eastAsia" w:ascii="Calibri" w:hAnsi="宋体" w:eastAsia="宋体" w:cs="Times New Roman"/>
          <w:b/>
          <w:bCs/>
          <w:snapToGrid/>
          <w:color w:val="auto"/>
          <w:kern w:val="2"/>
          <w:szCs w:val="20"/>
          <w:u w:val="single"/>
          <w:lang w:eastAsia="zh-CN"/>
        </w:rPr>
      </w:pPr>
      <w:r>
        <w:rPr>
          <w:rFonts w:ascii="Calibri" w:hAnsi="宋体" w:eastAsia="宋体" w:cs="Times New Roman"/>
          <w:b/>
          <w:bCs/>
          <w:snapToGrid/>
          <w:color w:val="auto"/>
          <w:kern w:val="2"/>
          <w:szCs w:val="20"/>
          <w:lang w:eastAsia="zh-CN"/>
        </w:rPr>
        <w:t>4.2.1受托人违约金的计算及支付方法：__</w:t>
      </w:r>
      <w:r>
        <w:rPr>
          <w:rFonts w:ascii="Calibri" w:hAnsi="宋体" w:eastAsia="宋体" w:cs="Times New Roman"/>
          <w:b/>
          <w:bCs/>
          <w:snapToGrid/>
          <w:color w:val="auto"/>
          <w:kern w:val="2"/>
          <w:szCs w:val="20"/>
          <w:u w:val="single"/>
          <w:lang w:eastAsia="zh-CN"/>
        </w:rPr>
        <w:t>因受托人违反本合同约定，不履职尽责，有违反职业道德与咨询项目利害关系人串通等行为，给委托人造成损失的，受托人应当赔偿委托人实际损失。</w:t>
      </w:r>
    </w:p>
    <w:p w14:paraId="0A01AFAD">
      <w:pPr>
        <w:widowControl w:val="0"/>
        <w:kinsoku/>
        <w:snapToGrid/>
        <w:spacing w:line="360" w:lineRule="auto"/>
        <w:ind w:firstLine="422" w:firstLineChars="200"/>
        <w:textAlignment w:val="auto"/>
        <w:outlineLvl w:val="1"/>
        <w:rPr>
          <w:rFonts w:hint="eastAsia" w:ascii="Calibri" w:hAnsi="宋体" w:eastAsia="宋体" w:cs="Times New Roman"/>
          <w:b/>
          <w:bCs/>
          <w:snapToGrid/>
          <w:color w:val="auto"/>
          <w:kern w:val="2"/>
          <w:szCs w:val="20"/>
          <w:lang w:eastAsia="zh-CN"/>
        </w:rPr>
      </w:pPr>
      <w:r>
        <w:rPr>
          <w:rFonts w:ascii="Calibri" w:hAnsi="宋体" w:eastAsia="宋体" w:cs="Times New Roman"/>
          <w:b/>
          <w:bCs/>
          <w:snapToGrid/>
          <w:color w:val="auto"/>
          <w:kern w:val="2"/>
          <w:szCs w:val="20"/>
          <w:lang w:eastAsia="zh-CN"/>
        </w:rPr>
        <w:t>4.2.2 受托人赔偿金额按下列方法确定并支付：因受托人违反本合同约定给委托人造成损失的，受托人应当赔偿委托人损失，累计赔偿总额不应当超过工程造价咨询酬金总额（除去税金）。</w:t>
      </w:r>
    </w:p>
    <w:p w14:paraId="7DBD24C9">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r>
        <w:rPr>
          <w:rFonts w:ascii="宋体" w:hAnsi="宋体" w:eastAsia="宋体" w:cs="Times New Roman"/>
          <w:b/>
          <w:snapToGrid/>
          <w:color w:val="auto"/>
          <w:lang w:eastAsia="zh-CN"/>
        </w:rPr>
        <w:t>5. 支付</w:t>
      </w:r>
      <w:bookmarkEnd w:id="537"/>
      <w:bookmarkEnd w:id="538"/>
      <w:bookmarkEnd w:id="539"/>
      <w:bookmarkEnd w:id="540"/>
      <w:bookmarkEnd w:id="541"/>
      <w:bookmarkEnd w:id="542"/>
    </w:p>
    <w:p w14:paraId="5C3921E9">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bookmarkStart w:id="543" w:name="_Toc511223112"/>
      <w:bookmarkStart w:id="544" w:name="_Toc21694063"/>
      <w:bookmarkStart w:id="545" w:name="_Toc511223385"/>
      <w:bookmarkStart w:id="546" w:name="_Toc419045118"/>
      <w:r>
        <w:rPr>
          <w:rFonts w:ascii="Calibri" w:hAnsi="宋体" w:eastAsia="宋体" w:cs="Times New Roman"/>
          <w:bCs/>
          <w:snapToGrid/>
          <w:color w:val="auto"/>
          <w:kern w:val="2"/>
          <w:szCs w:val="20"/>
          <w:lang w:eastAsia="zh-CN"/>
        </w:rPr>
        <w:t>5.1支付货币</w:t>
      </w:r>
    </w:p>
    <w:p w14:paraId="16D6E14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r>
        <w:rPr>
          <w:rFonts w:ascii="Calibri" w:hAnsi="宋体" w:eastAsia="宋体" w:cs="Times New Roman"/>
          <w:bCs/>
          <w:snapToGrid/>
          <w:color w:val="auto"/>
          <w:kern w:val="2"/>
          <w:szCs w:val="20"/>
          <w:lang w:eastAsia="zh-CN"/>
        </w:rPr>
        <w:t>币种为：人民币_，汇率为：___</w:t>
      </w:r>
      <w:r>
        <w:rPr>
          <w:rFonts w:ascii="Calibri" w:hAnsi="宋体" w:eastAsia="宋体" w:cs="Times New Roman"/>
          <w:bCs/>
          <w:snapToGrid/>
          <w:color w:val="auto"/>
          <w:kern w:val="2"/>
          <w:szCs w:val="20"/>
          <w:u w:val="single"/>
          <w:lang w:eastAsia="zh-CN"/>
        </w:rPr>
        <w:t>_/__</w:t>
      </w:r>
      <w:r>
        <w:rPr>
          <w:rFonts w:ascii="Calibri" w:hAnsi="宋体" w:eastAsia="宋体" w:cs="Times New Roman"/>
          <w:bCs/>
          <w:snapToGrid/>
          <w:color w:val="auto"/>
          <w:kern w:val="2"/>
          <w:szCs w:val="20"/>
          <w:lang w:eastAsia="zh-CN"/>
        </w:rPr>
        <w:t>_，其他约定：</w:t>
      </w:r>
      <w:r>
        <w:rPr>
          <w:rFonts w:ascii="Calibri" w:hAnsi="宋体" w:eastAsia="宋体" w:cs="Times New Roman"/>
          <w:bCs/>
          <w:snapToGrid/>
          <w:color w:val="auto"/>
          <w:kern w:val="2"/>
          <w:szCs w:val="20"/>
          <w:u w:val="single"/>
          <w:lang w:eastAsia="zh-CN"/>
        </w:rPr>
        <w:t>___/_</w:t>
      </w:r>
      <w:r>
        <w:rPr>
          <w:rFonts w:ascii="Calibri" w:hAnsi="宋体" w:eastAsia="宋体" w:cs="Times New Roman"/>
          <w:bCs/>
          <w:snapToGrid/>
          <w:color w:val="auto"/>
          <w:kern w:val="2"/>
          <w:szCs w:val="20"/>
          <w:lang w:eastAsia="zh-CN"/>
        </w:rPr>
        <w:t>__。</w:t>
      </w:r>
    </w:p>
    <w:p w14:paraId="4C8C4CE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r>
        <w:rPr>
          <w:rFonts w:ascii="Calibri" w:hAnsi="宋体" w:eastAsia="宋体" w:cs="Times New Roman"/>
          <w:bCs/>
          <w:snapToGrid/>
          <w:color w:val="auto"/>
          <w:kern w:val="2"/>
          <w:szCs w:val="20"/>
          <w:lang w:eastAsia="zh-CN"/>
        </w:rPr>
        <w:t>5.2 支付申请</w:t>
      </w:r>
    </w:p>
    <w:p w14:paraId="3D6E64E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r>
        <w:rPr>
          <w:rFonts w:hint="eastAsia" w:ascii="Calibri" w:hAnsi="宋体" w:eastAsia="宋体" w:cs="Times New Roman"/>
          <w:bCs/>
          <w:snapToGrid/>
          <w:color w:val="auto"/>
          <w:kern w:val="2"/>
          <w:szCs w:val="20"/>
          <w:lang w:eastAsia="zh-CN"/>
        </w:rPr>
        <w:t>按照合同支付方式进行支付。</w:t>
      </w:r>
    </w:p>
    <w:p w14:paraId="4F20B8F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r>
        <w:rPr>
          <w:rFonts w:ascii="Calibri" w:hAnsi="宋体" w:eastAsia="宋体" w:cs="Times New Roman"/>
          <w:bCs/>
          <w:snapToGrid/>
          <w:color w:val="auto"/>
          <w:kern w:val="2"/>
          <w:szCs w:val="20"/>
          <w:lang w:eastAsia="zh-CN"/>
        </w:rPr>
        <w:t>5.3支付酬金</w:t>
      </w:r>
      <w:bookmarkEnd w:id="543"/>
      <w:bookmarkEnd w:id="544"/>
      <w:bookmarkEnd w:id="545"/>
      <w:bookmarkEnd w:id="546"/>
    </w:p>
    <w:p w14:paraId="3565DD63">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szCs w:val="20"/>
          <w:lang w:eastAsia="zh-CN"/>
        </w:rPr>
      </w:pPr>
      <w:r>
        <w:rPr>
          <w:rFonts w:ascii="Calibri" w:hAnsi="Calibri" w:eastAsia="宋体" w:cs="Times New Roman"/>
          <w:snapToGrid/>
          <w:color w:val="auto"/>
          <w:kern w:val="2"/>
          <w:szCs w:val="20"/>
          <w:lang w:eastAsia="zh-CN"/>
        </w:rPr>
        <w:t>正常工作酬金的支付：</w:t>
      </w:r>
    </w:p>
    <w:p w14:paraId="1FEAF522">
      <w:pPr>
        <w:widowControl w:val="0"/>
        <w:kinsoku/>
        <w:autoSpaceDE/>
        <w:autoSpaceDN/>
        <w:adjustRightInd/>
        <w:snapToGrid/>
        <w:spacing w:line="360" w:lineRule="auto"/>
        <w:ind w:firstLine="420" w:firstLineChars="200"/>
        <w:jc w:val="both"/>
        <w:textAlignment w:val="auto"/>
        <w:rPr>
          <w:rFonts w:hint="eastAsia" w:ascii="Calibri" w:hAnsi="宋体" w:eastAsia="宋体" w:cs="Times New Roman"/>
          <w:snapToGrid/>
          <w:color w:val="auto"/>
          <w:kern w:val="2"/>
          <w:szCs w:val="20"/>
          <w:lang w:eastAsia="zh-CN"/>
        </w:rPr>
      </w:pPr>
      <w:bookmarkStart w:id="547" w:name="_Toc419045119"/>
      <w:r>
        <w:rPr>
          <w:rFonts w:ascii="Calibri" w:hAnsi="宋体" w:eastAsia="宋体" w:cs="Times New Roman"/>
          <w:bCs/>
          <w:snapToGrid/>
          <w:color w:val="auto"/>
          <w:kern w:val="2"/>
          <w:szCs w:val="20"/>
          <w:lang w:eastAsia="zh-CN"/>
        </w:rPr>
        <w:t>服务期届满后，受托人完成各项目各阶段的全部咨询服务、提交全部咨询成果文件及结算资料，经委托人验收合格，且受托人开具</w:t>
      </w:r>
      <w:r>
        <w:rPr>
          <w:rFonts w:hint="eastAsia" w:ascii="Calibri" w:hAnsi="宋体" w:eastAsia="宋体" w:cs="Times New Roman"/>
          <w:bCs/>
          <w:snapToGrid/>
          <w:color w:val="auto"/>
          <w:kern w:val="2"/>
          <w:szCs w:val="20"/>
          <w:lang w:eastAsia="zh-CN"/>
        </w:rPr>
        <w:t>结算金额</w:t>
      </w:r>
      <w:r>
        <w:rPr>
          <w:rFonts w:ascii="Calibri" w:hAnsi="宋体" w:eastAsia="宋体" w:cs="Times New Roman"/>
          <w:bCs/>
          <w:snapToGrid/>
          <w:color w:val="auto"/>
          <w:kern w:val="2"/>
          <w:szCs w:val="20"/>
          <w:lang w:eastAsia="zh-CN"/>
        </w:rPr>
        <w:t>、税率为6%的增值税专用发票后，委托人自收到合格发票之日起30个工作日内一次性付清全部咨询费，付款方式为银行电汇。</w:t>
      </w:r>
    </w:p>
    <w:p w14:paraId="13CAEED9">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548" w:name="_Toc21694064"/>
      <w:bookmarkStart w:id="549" w:name="_Toc32625"/>
      <w:bookmarkStart w:id="550" w:name="_Toc511223386"/>
      <w:bookmarkStart w:id="551" w:name="_Toc511223113"/>
      <w:bookmarkStart w:id="552" w:name="_Toc29056537"/>
      <w:r>
        <w:rPr>
          <w:rFonts w:ascii="宋体" w:hAnsi="宋体" w:eastAsia="宋体" w:cs="Times New Roman"/>
          <w:b/>
          <w:snapToGrid/>
          <w:color w:val="auto"/>
          <w:lang w:eastAsia="zh-CN"/>
        </w:rPr>
        <w:t>6. 合同变更、解除与终止</w:t>
      </w:r>
      <w:bookmarkEnd w:id="547"/>
      <w:bookmarkEnd w:id="548"/>
      <w:bookmarkEnd w:id="549"/>
      <w:bookmarkEnd w:id="550"/>
      <w:bookmarkEnd w:id="551"/>
      <w:bookmarkEnd w:id="552"/>
    </w:p>
    <w:p w14:paraId="6B39B7F9">
      <w:pPr>
        <w:widowControl w:val="0"/>
        <w:kinsoku/>
        <w:autoSpaceDE/>
        <w:autoSpaceDN/>
        <w:adjustRightInd/>
        <w:snapToGrid/>
        <w:spacing w:line="360" w:lineRule="auto"/>
        <w:ind w:firstLine="420" w:firstLineChars="200"/>
        <w:contextualSpacing/>
        <w:jc w:val="both"/>
        <w:textAlignment w:val="auto"/>
        <w:rPr>
          <w:rFonts w:ascii="Calibri Light" w:hAnsi="Calibri Light" w:eastAsia="宋体" w:cs="Times New Roman"/>
          <w:bCs/>
          <w:snapToGrid/>
          <w:color w:val="auto"/>
          <w:kern w:val="28"/>
          <w:sz w:val="32"/>
          <w:lang w:eastAsia="zh-CN"/>
        </w:rPr>
      </w:pPr>
      <w:bookmarkStart w:id="553" w:name="_Toc419045120"/>
      <w:bookmarkStart w:id="554" w:name="_Toc21694065"/>
      <w:bookmarkStart w:id="555" w:name="_Toc511223387"/>
      <w:bookmarkStart w:id="556" w:name="_Toc511223114"/>
      <w:r>
        <w:rPr>
          <w:rFonts w:ascii="Calibri" w:hAnsi="宋体" w:eastAsia="宋体" w:cs="Times New Roman"/>
          <w:bCs/>
          <w:snapToGrid/>
          <w:color w:val="auto"/>
          <w:kern w:val="2"/>
          <w:szCs w:val="20"/>
          <w:lang w:eastAsia="zh-CN"/>
        </w:rPr>
        <w:t>6.1合同变更</w:t>
      </w:r>
      <w:bookmarkEnd w:id="553"/>
      <w:bookmarkEnd w:id="554"/>
      <w:bookmarkEnd w:id="555"/>
      <w:bookmarkEnd w:id="556"/>
      <w:r>
        <w:rPr>
          <w:rFonts w:ascii="Calibri" w:hAnsi="宋体" w:eastAsia="宋体" w:cs="Times New Roman"/>
          <w:snapToGrid/>
          <w:color w:val="auto"/>
          <w:kern w:val="2"/>
          <w:szCs w:val="20"/>
          <w:lang w:eastAsia="zh-CN"/>
        </w:rPr>
        <w:br w:type="textWrapping"/>
      </w:r>
      <w:r>
        <w:rPr>
          <w:rFonts w:ascii="Calibri" w:hAnsi="Calibri" w:eastAsia="宋体" w:cs="Times New Roman"/>
          <w:snapToGrid/>
          <w:color w:val="auto"/>
          <w:kern w:val="2"/>
          <w:lang w:eastAsia="zh-CN"/>
        </w:rPr>
        <w:t xml:space="preserve">    6.1.2 </w:t>
      </w:r>
      <w:r>
        <w:rPr>
          <w:rFonts w:ascii="Calibri" w:hAnsi="宋体" w:eastAsia="宋体" w:cs="Times New Roman"/>
          <w:snapToGrid/>
          <w:color w:val="auto"/>
          <w:kern w:val="2"/>
          <w:lang w:eastAsia="zh-CN"/>
        </w:rPr>
        <w:t>除不可抗力外，因非受托人原因导致本合同履行期限延长、内容增加时，附加工作酬金按下列方法确定：</w:t>
      </w:r>
      <w:r>
        <w:rPr>
          <w:rFonts w:hint="eastAsia" w:ascii="Calibri" w:hAnsi="Calibri" w:eastAsia="宋体" w:cs="Times New Roman"/>
          <w:snapToGrid/>
          <w:color w:val="auto"/>
          <w:kern w:val="2"/>
          <w:u w:val="single"/>
          <w:lang w:eastAsia="zh-CN"/>
        </w:rPr>
        <w:t xml:space="preserve">受托人实际承担咨询项目审定结算额超过2000万元，另行签订补充协议        </w:t>
      </w:r>
      <w:r>
        <w:rPr>
          <w:rFonts w:ascii="Calibri" w:hAnsi="Calibri" w:eastAsia="宋体" w:cs="Times New Roman"/>
          <w:snapToGrid/>
          <w:color w:val="auto"/>
          <w:kern w:val="2"/>
          <w:u w:val="single"/>
          <w:lang w:eastAsia="zh-CN"/>
        </w:rPr>
        <w:t xml:space="preserve"> </w:t>
      </w:r>
      <w:r>
        <w:rPr>
          <w:rFonts w:ascii="Calibri" w:hAnsi="宋体" w:eastAsia="宋体" w:cs="Times New Roman"/>
          <w:snapToGrid/>
          <w:color w:val="auto"/>
          <w:kern w:val="2"/>
          <w:lang w:eastAsia="zh-CN"/>
        </w:rPr>
        <w:t>。</w:t>
      </w:r>
      <w:r>
        <w:rPr>
          <w:rFonts w:ascii="Calibri" w:hAnsi="Calibri" w:eastAsia="宋体" w:cs="Times New Roman"/>
          <w:snapToGrid/>
          <w:color w:val="auto"/>
          <w:kern w:val="2"/>
          <w:lang w:eastAsia="zh-CN"/>
        </w:rPr>
        <w:br w:type="textWrapping"/>
      </w:r>
      <w:r>
        <w:rPr>
          <w:rFonts w:ascii="Calibri" w:hAnsi="Calibri" w:eastAsia="宋体" w:cs="Times New Roman"/>
          <w:snapToGrid/>
          <w:color w:val="auto"/>
          <w:kern w:val="2"/>
          <w:lang w:eastAsia="zh-CN"/>
        </w:rPr>
        <w:t xml:space="preserve">    6.1.4</w:t>
      </w:r>
      <w:r>
        <w:rPr>
          <w:rFonts w:ascii="Calibri" w:hAnsi="宋体" w:eastAsia="宋体" w:cs="Times New Roman"/>
          <w:snapToGrid/>
          <w:color w:val="auto"/>
          <w:kern w:val="2"/>
          <w:lang w:eastAsia="zh-CN"/>
        </w:rPr>
        <w:t>因工程规模、服务范围及内容的变化等导致受托人的工作量增减时，服务酬金的调整方法：</w:t>
      </w:r>
      <w:r>
        <w:rPr>
          <w:rFonts w:ascii="Calibri" w:hAnsi="Calibri" w:eastAsia="宋体" w:cs="Times New Roman"/>
          <w:snapToGrid/>
          <w:color w:val="auto"/>
          <w:kern w:val="2"/>
          <w:u w:val="single"/>
          <w:lang w:eastAsia="zh-CN"/>
        </w:rPr>
        <w:t xml:space="preserve">   </w:t>
      </w:r>
      <w:r>
        <w:rPr>
          <w:rFonts w:hint="eastAsia" w:ascii="Calibri" w:hAnsi="Calibri" w:eastAsia="宋体" w:cs="Times New Roman"/>
          <w:snapToGrid/>
          <w:color w:val="auto"/>
          <w:kern w:val="2"/>
          <w:u w:val="single"/>
          <w:lang w:eastAsia="zh-CN"/>
        </w:rPr>
        <w:t>受托人实际承担咨询项目审定结算额超过2000万元，另行签订补充协议</w:t>
      </w:r>
      <w:r>
        <w:rPr>
          <w:rFonts w:ascii="Calibri" w:hAnsi="Calibri" w:eastAsia="宋体" w:cs="Times New Roman"/>
          <w:snapToGrid/>
          <w:color w:val="auto"/>
          <w:kern w:val="2"/>
          <w:u w:val="single"/>
          <w:lang w:eastAsia="zh-CN"/>
        </w:rPr>
        <w:t xml:space="preserve">   </w:t>
      </w:r>
      <w:r>
        <w:rPr>
          <w:rFonts w:ascii="Calibri" w:hAnsi="宋体" w:eastAsia="宋体" w:cs="Times New Roman"/>
          <w:snapToGrid/>
          <w:color w:val="auto"/>
          <w:kern w:val="2"/>
          <w:lang w:eastAsia="zh-CN"/>
        </w:rPr>
        <w:t>。</w:t>
      </w:r>
    </w:p>
    <w:p w14:paraId="2053ADB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57" w:name="_Toc21694066"/>
      <w:bookmarkStart w:id="558" w:name="_Toc511223115"/>
      <w:bookmarkStart w:id="559" w:name="_Toc511223388"/>
      <w:r>
        <w:rPr>
          <w:rFonts w:ascii="Calibri" w:hAnsi="宋体" w:eastAsia="宋体" w:cs="Times New Roman"/>
          <w:snapToGrid/>
          <w:color w:val="auto"/>
          <w:kern w:val="2"/>
          <w:szCs w:val="20"/>
          <w:lang w:eastAsia="zh-CN"/>
        </w:rPr>
        <w:t>6.2合同解除</w:t>
      </w:r>
      <w:bookmarkEnd w:id="557"/>
      <w:bookmarkEnd w:id="558"/>
      <w:bookmarkEnd w:id="559"/>
    </w:p>
    <w:p w14:paraId="453B17DF">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6.2.2</w:t>
      </w:r>
      <w:r>
        <w:rPr>
          <w:rFonts w:ascii="Calibri" w:hAnsi="宋体" w:eastAsia="宋体" w:cs="Times New Roman"/>
          <w:snapToGrid/>
          <w:color w:val="auto"/>
          <w:kern w:val="2"/>
          <w:lang w:eastAsia="zh-CN"/>
        </w:rPr>
        <w:t>双方约定解除合同的条件还包括：</w:t>
      </w:r>
      <w:r>
        <w:rPr>
          <w:rFonts w:ascii="Calibri" w:hAnsi="Calibri" w:eastAsia="宋体" w:cs="Times New Roman"/>
          <w:snapToGrid/>
          <w:color w:val="auto"/>
          <w:kern w:val="2"/>
          <w:u w:val="single"/>
          <w:lang w:eastAsia="zh-CN"/>
        </w:rPr>
        <w:t xml:space="preserve">   按《通用条款执行》   </w:t>
      </w:r>
      <w:r>
        <w:rPr>
          <w:rFonts w:ascii="Calibri" w:hAnsi="宋体" w:eastAsia="宋体" w:cs="Times New Roman"/>
          <w:snapToGrid/>
          <w:color w:val="auto"/>
          <w:kern w:val="2"/>
          <w:lang w:eastAsia="zh-CN"/>
        </w:rPr>
        <w:t>。</w:t>
      </w:r>
    </w:p>
    <w:p w14:paraId="070FA52D">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6.2.4</w:t>
      </w:r>
      <w:r>
        <w:rPr>
          <w:rFonts w:ascii="Calibri" w:hAnsi="宋体" w:eastAsia="宋体" w:cs="Times New Roman"/>
          <w:snapToGrid/>
          <w:color w:val="auto"/>
          <w:kern w:val="2"/>
          <w:lang w:eastAsia="zh-CN"/>
        </w:rPr>
        <w:t>因不可抗力导致的合同解除，双方约定损失的分担如下：</w:t>
      </w:r>
      <w:r>
        <w:rPr>
          <w:rFonts w:ascii="Calibri" w:hAnsi="Calibri" w:eastAsia="宋体" w:cs="Times New Roman"/>
          <w:snapToGrid/>
          <w:color w:val="auto"/>
          <w:kern w:val="2"/>
          <w:u w:val="single"/>
          <w:lang w:eastAsia="zh-CN"/>
        </w:rPr>
        <w:t xml:space="preserve">   双方协商   </w:t>
      </w:r>
      <w:r>
        <w:rPr>
          <w:rFonts w:ascii="Calibri" w:hAnsi="宋体" w:eastAsia="宋体" w:cs="Times New Roman"/>
          <w:snapToGrid/>
          <w:color w:val="auto"/>
          <w:kern w:val="2"/>
          <w:lang w:eastAsia="zh-CN"/>
        </w:rPr>
        <w:t>。</w:t>
      </w:r>
    </w:p>
    <w:p w14:paraId="7E4056AE">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560" w:name="_Toc21694067"/>
      <w:bookmarkStart w:id="561" w:name="_Toc6624"/>
      <w:bookmarkStart w:id="562" w:name="_Toc511223389"/>
      <w:bookmarkStart w:id="563" w:name="_Toc419045121"/>
      <w:bookmarkStart w:id="564" w:name="_Toc511223116"/>
      <w:bookmarkStart w:id="565" w:name="_Toc29056538"/>
      <w:r>
        <w:rPr>
          <w:rFonts w:ascii="宋体" w:hAnsi="宋体" w:eastAsia="宋体" w:cs="Times New Roman"/>
          <w:b/>
          <w:snapToGrid/>
          <w:color w:val="auto"/>
          <w:lang w:eastAsia="zh-CN"/>
        </w:rPr>
        <w:t>7. 争议解决</w:t>
      </w:r>
      <w:bookmarkEnd w:id="560"/>
      <w:bookmarkEnd w:id="561"/>
      <w:bookmarkEnd w:id="562"/>
      <w:bookmarkEnd w:id="563"/>
      <w:bookmarkEnd w:id="564"/>
      <w:bookmarkEnd w:id="565"/>
    </w:p>
    <w:p w14:paraId="054A5F47">
      <w:pPr>
        <w:widowControl w:val="0"/>
        <w:kinsoku/>
        <w:autoSpaceDE/>
        <w:autoSpaceDN/>
        <w:adjustRightInd/>
        <w:snapToGrid/>
        <w:spacing w:line="360" w:lineRule="auto"/>
        <w:ind w:firstLine="480"/>
        <w:contextualSpacing/>
        <w:jc w:val="both"/>
        <w:textAlignment w:val="auto"/>
        <w:rPr>
          <w:rFonts w:ascii="Calibri Light" w:hAnsi="Calibri Light" w:eastAsia="宋体" w:cs="Times New Roman"/>
          <w:bCs/>
          <w:snapToGrid/>
          <w:color w:val="auto"/>
          <w:kern w:val="28"/>
          <w:sz w:val="32"/>
          <w:lang w:eastAsia="zh-CN"/>
        </w:rPr>
      </w:pPr>
      <w:bookmarkStart w:id="566" w:name="_Toc21694068"/>
      <w:bookmarkStart w:id="567" w:name="_Toc419045122"/>
      <w:bookmarkStart w:id="568" w:name="_Toc511223390"/>
      <w:bookmarkStart w:id="569" w:name="_Toc511223117"/>
      <w:r>
        <w:rPr>
          <w:rFonts w:ascii="Calibri" w:hAnsi="宋体" w:eastAsia="宋体" w:cs="Times New Roman"/>
          <w:bCs/>
          <w:snapToGrid/>
          <w:color w:val="auto"/>
          <w:kern w:val="2"/>
          <w:szCs w:val="20"/>
          <w:lang w:eastAsia="zh-CN"/>
        </w:rPr>
        <w:t>7.2调解</w:t>
      </w:r>
      <w:bookmarkEnd w:id="566"/>
      <w:bookmarkEnd w:id="567"/>
      <w:bookmarkEnd w:id="568"/>
      <w:bookmarkEnd w:id="569"/>
      <w:r>
        <w:rPr>
          <w:rFonts w:ascii="Calibri" w:hAnsi="宋体" w:eastAsia="宋体" w:cs="Times New Roman"/>
          <w:snapToGrid/>
          <w:color w:val="auto"/>
          <w:kern w:val="2"/>
          <w:szCs w:val="20"/>
          <w:lang w:eastAsia="zh-CN"/>
        </w:rPr>
        <w:br w:type="textWrapping"/>
      </w:r>
      <w:r>
        <w:rPr>
          <w:rFonts w:ascii="Calibri" w:hAnsi="宋体" w:eastAsia="宋体" w:cs="Times New Roman"/>
          <w:snapToGrid/>
          <w:color w:val="auto"/>
          <w:kern w:val="2"/>
          <w:lang w:eastAsia="zh-CN"/>
        </w:rPr>
        <w:t>如果双方不能在</w:t>
      </w:r>
      <w:r>
        <w:rPr>
          <w:rFonts w:ascii="Calibri" w:hAnsi="Calibri" w:eastAsia="宋体" w:cs="Times New Roman"/>
          <w:snapToGrid/>
          <w:color w:val="auto"/>
          <w:kern w:val="2"/>
          <w:u w:val="single"/>
          <w:lang w:eastAsia="zh-CN"/>
        </w:rPr>
        <w:t xml:space="preserve">    /    </w:t>
      </w:r>
      <w:r>
        <w:rPr>
          <w:rFonts w:ascii="Calibri" w:hAnsi="宋体" w:eastAsia="宋体" w:cs="Times New Roman"/>
          <w:snapToGrid/>
          <w:color w:val="auto"/>
          <w:kern w:val="2"/>
          <w:lang w:eastAsia="zh-CN"/>
        </w:rPr>
        <w:t>日内解决本合同争议，可以将其提交</w:t>
      </w:r>
      <w:r>
        <w:rPr>
          <w:rFonts w:ascii="Calibri" w:hAnsi="Calibri" w:eastAsia="宋体" w:cs="Times New Roman"/>
          <w:snapToGrid/>
          <w:color w:val="auto"/>
          <w:kern w:val="2"/>
          <w:u w:val="single"/>
          <w:lang w:eastAsia="zh-CN"/>
        </w:rPr>
        <w:t xml:space="preserve">  </w:t>
      </w:r>
      <w:r>
        <w:rPr>
          <w:rFonts w:hint="eastAsia" w:ascii="Calibri" w:hAnsi="Calibri" w:eastAsia="宋体" w:cs="Times New Roman"/>
          <w:snapToGrid/>
          <w:color w:val="auto"/>
          <w:kern w:val="2"/>
          <w:u w:val="single"/>
          <w:lang w:eastAsia="zh-CN"/>
        </w:rPr>
        <w:t>工程所在地法院</w:t>
      </w:r>
      <w:r>
        <w:rPr>
          <w:rFonts w:ascii="Calibri" w:hAnsi="Calibri" w:eastAsia="宋体" w:cs="Times New Roman"/>
          <w:snapToGrid/>
          <w:color w:val="auto"/>
          <w:kern w:val="2"/>
          <w:u w:val="single"/>
          <w:lang w:eastAsia="zh-CN"/>
        </w:rPr>
        <w:t xml:space="preserve">   </w:t>
      </w:r>
      <w:r>
        <w:rPr>
          <w:rFonts w:ascii="Calibri" w:hAnsi="宋体" w:eastAsia="宋体" w:cs="Times New Roman"/>
          <w:snapToGrid/>
          <w:color w:val="auto"/>
          <w:kern w:val="2"/>
          <w:lang w:eastAsia="zh-CN"/>
        </w:rPr>
        <w:t>进行调解。</w:t>
      </w:r>
    </w:p>
    <w:p w14:paraId="1135E94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70" w:name="_Toc511223391"/>
      <w:bookmarkStart w:id="571" w:name="_Toc511223118"/>
      <w:bookmarkStart w:id="572" w:name="_Toc21694069"/>
      <w:r>
        <w:rPr>
          <w:rFonts w:ascii="Calibri" w:hAnsi="宋体" w:eastAsia="宋体" w:cs="Times New Roman"/>
          <w:snapToGrid/>
          <w:color w:val="auto"/>
          <w:kern w:val="2"/>
          <w:szCs w:val="20"/>
          <w:lang w:eastAsia="zh-CN"/>
        </w:rPr>
        <w:t>7.3仲裁或诉讼</w:t>
      </w:r>
      <w:bookmarkEnd w:id="570"/>
      <w:bookmarkEnd w:id="571"/>
      <w:bookmarkEnd w:id="572"/>
    </w:p>
    <w:p w14:paraId="5C4240DF">
      <w:pPr>
        <w:widowControl w:val="0"/>
        <w:kinsoku/>
        <w:autoSpaceDE/>
        <w:autoSpaceDN/>
        <w:adjustRightInd/>
        <w:snapToGrid/>
        <w:spacing w:line="360" w:lineRule="auto"/>
        <w:ind w:firstLine="48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合同争议的最终解决方式为下列第</w:t>
      </w:r>
      <w:r>
        <w:rPr>
          <w:rFonts w:ascii="Calibri" w:hAnsi="Calibri" w:eastAsia="宋体" w:cs="Times New Roman"/>
          <w:snapToGrid/>
          <w:color w:val="auto"/>
          <w:kern w:val="2"/>
          <w:u w:val="single"/>
          <w:lang w:eastAsia="zh-CN"/>
        </w:rPr>
        <w:t>（2）</w:t>
      </w:r>
      <w:r>
        <w:rPr>
          <w:rFonts w:ascii="Calibri" w:hAnsi="宋体" w:eastAsia="宋体" w:cs="Times New Roman"/>
          <w:snapToGrid/>
          <w:color w:val="auto"/>
          <w:kern w:val="2"/>
          <w:lang w:eastAsia="zh-CN"/>
        </w:rPr>
        <w:t>种方式：</w:t>
      </w:r>
      <w:r>
        <w:rPr>
          <w:rFonts w:ascii="Calibri" w:hAnsi="Calibri" w:eastAsia="宋体" w:cs="Times New Roman"/>
          <w:snapToGrid/>
          <w:color w:val="auto"/>
          <w:kern w:val="2"/>
          <w:lang w:eastAsia="zh-CN"/>
        </w:rPr>
        <w:br w:type="textWrapping"/>
      </w:r>
      <w:r>
        <w:rPr>
          <w:rFonts w:ascii="Calibri" w:hAnsi="宋体" w:eastAsia="宋体" w:cs="Times New Roman"/>
          <w:snapToGrid/>
          <w:color w:val="auto"/>
          <w:kern w:val="2"/>
          <w:lang w:eastAsia="zh-CN"/>
        </w:rPr>
        <w:t>（</w:t>
      </w:r>
      <w:r>
        <w:rPr>
          <w:rFonts w:ascii="Calibri" w:hAnsi="Calibri" w:eastAsia="宋体" w:cs="Times New Roman"/>
          <w:snapToGrid/>
          <w:color w:val="auto"/>
          <w:kern w:val="2"/>
          <w:lang w:eastAsia="zh-CN"/>
        </w:rPr>
        <w:t>1</w:t>
      </w:r>
      <w:r>
        <w:rPr>
          <w:rFonts w:ascii="Calibri" w:hAnsi="宋体" w:eastAsia="宋体" w:cs="Times New Roman"/>
          <w:snapToGrid/>
          <w:color w:val="auto"/>
          <w:kern w:val="2"/>
          <w:lang w:eastAsia="zh-CN"/>
        </w:rPr>
        <w:t>）提请</w:t>
      </w:r>
      <w:r>
        <w:rPr>
          <w:rFonts w:ascii="Calibri" w:hAnsi="Calibri" w:eastAsia="宋体" w:cs="Times New Roman"/>
          <w:snapToGrid/>
          <w:color w:val="auto"/>
          <w:kern w:val="2"/>
          <w:u w:val="single"/>
          <w:lang w:eastAsia="zh-CN"/>
        </w:rPr>
        <w:t xml:space="preserve">   </w:t>
      </w:r>
      <w:r>
        <w:rPr>
          <w:rFonts w:hint="eastAsia" w:ascii="Calibri" w:hAnsi="Calibri" w:eastAsia="宋体" w:cs="Times New Roman"/>
          <w:snapToGrid/>
          <w:color w:val="auto"/>
          <w:kern w:val="2"/>
          <w:u w:val="single"/>
          <w:lang w:eastAsia="zh-CN"/>
        </w:rPr>
        <w:t>/</w:t>
      </w:r>
      <w:r>
        <w:rPr>
          <w:rFonts w:ascii="Calibri" w:hAnsi="Calibri" w:eastAsia="宋体" w:cs="Times New Roman"/>
          <w:snapToGrid/>
          <w:color w:val="auto"/>
          <w:kern w:val="2"/>
          <w:u w:val="single"/>
          <w:lang w:eastAsia="zh-CN"/>
        </w:rPr>
        <w:t xml:space="preserve">     </w:t>
      </w:r>
      <w:r>
        <w:rPr>
          <w:rFonts w:ascii="Calibri" w:hAnsi="宋体" w:eastAsia="宋体" w:cs="Times New Roman"/>
          <w:snapToGrid/>
          <w:color w:val="auto"/>
          <w:kern w:val="2"/>
          <w:lang w:eastAsia="zh-CN"/>
        </w:rPr>
        <w:t>仲裁委员会进行仲裁。</w:t>
      </w:r>
      <w:r>
        <w:rPr>
          <w:rFonts w:ascii="Calibri" w:hAnsi="Calibri" w:eastAsia="宋体" w:cs="Times New Roman"/>
          <w:snapToGrid/>
          <w:color w:val="auto"/>
          <w:kern w:val="2"/>
          <w:lang w:eastAsia="zh-CN"/>
        </w:rPr>
        <w:br w:type="textWrapping"/>
      </w:r>
      <w:r>
        <w:rPr>
          <w:rFonts w:ascii="Calibri" w:hAnsi="宋体" w:eastAsia="宋体" w:cs="Times New Roman"/>
          <w:snapToGrid/>
          <w:color w:val="auto"/>
          <w:kern w:val="2"/>
          <w:lang w:eastAsia="zh-CN"/>
        </w:rPr>
        <w:t>（</w:t>
      </w:r>
      <w:r>
        <w:rPr>
          <w:rFonts w:ascii="Calibri" w:hAnsi="Calibri" w:eastAsia="宋体" w:cs="Times New Roman"/>
          <w:snapToGrid/>
          <w:color w:val="auto"/>
          <w:kern w:val="2"/>
          <w:lang w:eastAsia="zh-CN"/>
        </w:rPr>
        <w:t>2</w:t>
      </w:r>
      <w:r>
        <w:rPr>
          <w:rFonts w:ascii="Calibri" w:hAnsi="宋体" w:eastAsia="宋体" w:cs="Times New Roman"/>
          <w:snapToGrid/>
          <w:color w:val="auto"/>
          <w:kern w:val="2"/>
          <w:lang w:eastAsia="zh-CN"/>
        </w:rPr>
        <w:t>）向</w:t>
      </w:r>
      <w:r>
        <w:rPr>
          <w:rFonts w:ascii="Calibri" w:hAnsi="Calibri" w:eastAsia="宋体" w:cs="Times New Roman"/>
          <w:snapToGrid/>
          <w:color w:val="auto"/>
          <w:kern w:val="2"/>
          <w:u w:val="single"/>
          <w:lang w:eastAsia="zh-CN"/>
        </w:rPr>
        <w:t xml:space="preserve"> 工程所在地  </w:t>
      </w:r>
      <w:r>
        <w:rPr>
          <w:rFonts w:ascii="Calibri" w:hAnsi="宋体" w:eastAsia="宋体" w:cs="Times New Roman"/>
          <w:snapToGrid/>
          <w:color w:val="auto"/>
          <w:kern w:val="2"/>
          <w:lang w:eastAsia="zh-CN"/>
        </w:rPr>
        <w:t>人民法院提起诉讼。</w:t>
      </w:r>
    </w:p>
    <w:p w14:paraId="74BF982E">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573" w:name="_Toc511223392"/>
      <w:bookmarkStart w:id="574" w:name="_Toc29056539"/>
      <w:bookmarkStart w:id="575" w:name="_Toc29308"/>
      <w:bookmarkStart w:id="576" w:name="_Toc419045123"/>
      <w:bookmarkStart w:id="577" w:name="_Toc21694070"/>
      <w:bookmarkStart w:id="578" w:name="_Toc511223119"/>
      <w:r>
        <w:rPr>
          <w:rFonts w:ascii="宋体" w:hAnsi="宋体" w:eastAsia="宋体" w:cs="Times New Roman"/>
          <w:b/>
          <w:snapToGrid/>
          <w:color w:val="auto"/>
          <w:lang w:eastAsia="zh-CN"/>
        </w:rPr>
        <w:t>8. 其他</w:t>
      </w:r>
      <w:bookmarkEnd w:id="573"/>
      <w:bookmarkEnd w:id="574"/>
      <w:bookmarkEnd w:id="575"/>
      <w:bookmarkEnd w:id="576"/>
      <w:bookmarkEnd w:id="577"/>
      <w:bookmarkEnd w:id="578"/>
    </w:p>
    <w:p w14:paraId="753E0F80">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79" w:name="_Toc511223393"/>
      <w:bookmarkStart w:id="580" w:name="_Toc21694071"/>
      <w:bookmarkStart w:id="581" w:name="_Toc511223120"/>
      <w:r>
        <w:rPr>
          <w:rFonts w:ascii="Calibri" w:hAnsi="宋体" w:eastAsia="宋体" w:cs="Times New Roman"/>
          <w:snapToGrid/>
          <w:color w:val="auto"/>
          <w:kern w:val="2"/>
          <w:szCs w:val="20"/>
          <w:lang w:eastAsia="zh-CN"/>
        </w:rPr>
        <w:t>8.1考察及相关费用</w:t>
      </w:r>
      <w:bookmarkEnd w:id="579"/>
      <w:bookmarkEnd w:id="580"/>
      <w:bookmarkEnd w:id="581"/>
    </w:p>
    <w:p w14:paraId="68E585D4">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受托人经委托人同意进行</w:t>
      </w:r>
      <w:r>
        <w:rPr>
          <w:rFonts w:ascii="Calibri" w:hAnsi="宋体" w:eastAsia="宋体" w:cs="Times New Roman"/>
          <w:snapToGrid/>
          <w:color w:val="auto"/>
          <w:kern w:val="2"/>
          <w:u w:val="single"/>
          <w:lang w:eastAsia="zh-CN"/>
        </w:rPr>
        <w:t xml:space="preserve">  /    </w:t>
      </w:r>
      <w:r>
        <w:rPr>
          <w:rFonts w:ascii="Calibri" w:hAnsi="宋体" w:eastAsia="宋体" w:cs="Times New Roman"/>
          <w:snapToGrid/>
          <w:color w:val="auto"/>
          <w:kern w:val="2"/>
          <w:lang w:eastAsia="zh-CN"/>
        </w:rPr>
        <w:t>。</w:t>
      </w:r>
    </w:p>
    <w:p w14:paraId="484BF83F">
      <w:pPr>
        <w:widowControl w:val="0"/>
        <w:kinsoku/>
        <w:autoSpaceDE/>
        <w:autoSpaceDN/>
        <w:adjustRightInd/>
        <w:snapToGrid/>
        <w:spacing w:line="360" w:lineRule="auto"/>
        <w:ind w:firstLine="420" w:firstLineChars="200"/>
        <w:contextualSpacing/>
        <w:jc w:val="both"/>
        <w:textAlignment w:val="auto"/>
        <w:rPr>
          <w:rFonts w:ascii="Calibri Light" w:hAnsi="Calibri Light" w:eastAsia="宋体" w:cs="Times New Roman"/>
          <w:bCs/>
          <w:snapToGrid/>
          <w:color w:val="auto"/>
          <w:kern w:val="28"/>
          <w:sz w:val="32"/>
          <w:lang w:eastAsia="zh-CN"/>
        </w:rPr>
      </w:pPr>
      <w:r>
        <w:rPr>
          <w:rFonts w:ascii="Calibri" w:hAnsi="宋体" w:eastAsia="宋体" w:cs="Times New Roman"/>
          <w:snapToGrid/>
          <w:color w:val="auto"/>
          <w:kern w:val="2"/>
          <w:lang w:eastAsia="zh-CN"/>
        </w:rPr>
        <w:t>差旅费及相关费用的支付：</w:t>
      </w:r>
      <w:r>
        <w:rPr>
          <w:rFonts w:ascii="Calibri" w:hAnsi="Calibri" w:eastAsia="宋体" w:cs="Times New Roman"/>
          <w:snapToGrid/>
          <w:color w:val="auto"/>
          <w:kern w:val="2"/>
          <w:u w:val="single"/>
          <w:lang w:eastAsia="zh-CN"/>
        </w:rPr>
        <w:t xml:space="preserve">    </w:t>
      </w:r>
      <w:r>
        <w:rPr>
          <w:rFonts w:ascii="Calibri" w:hAnsi="宋体" w:eastAsia="宋体" w:cs="Times New Roman"/>
          <w:snapToGrid/>
          <w:color w:val="auto"/>
          <w:kern w:val="2"/>
          <w:u w:val="single"/>
          <w:lang w:eastAsia="zh-CN"/>
        </w:rPr>
        <w:t>由受托人自行解决</w:t>
      </w:r>
      <w:r>
        <w:rPr>
          <w:rFonts w:ascii="Calibri" w:hAnsi="宋体" w:eastAsia="宋体" w:cs="Times New Roman"/>
          <w:b/>
          <w:snapToGrid/>
          <w:color w:val="auto"/>
          <w:kern w:val="2"/>
          <w:u w:val="single"/>
          <w:lang w:eastAsia="zh-CN"/>
        </w:rPr>
        <w:t xml:space="preserve">      </w:t>
      </w:r>
      <w:r>
        <w:rPr>
          <w:rFonts w:ascii="Calibri" w:hAnsi="宋体" w:eastAsia="宋体" w:cs="Times New Roman"/>
          <w:snapToGrid/>
          <w:color w:val="auto"/>
          <w:kern w:val="2"/>
          <w:lang w:eastAsia="zh-CN"/>
        </w:rPr>
        <w:t>。</w:t>
      </w:r>
    </w:p>
    <w:p w14:paraId="257F67B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82" w:name="_Toc511223121"/>
      <w:bookmarkStart w:id="583" w:name="_Toc511223394"/>
      <w:bookmarkStart w:id="584" w:name="_Toc21694072"/>
      <w:r>
        <w:rPr>
          <w:rFonts w:ascii="Calibri" w:hAnsi="宋体" w:eastAsia="宋体" w:cs="Times New Roman"/>
          <w:snapToGrid/>
          <w:color w:val="auto"/>
          <w:kern w:val="2"/>
          <w:szCs w:val="20"/>
          <w:lang w:eastAsia="zh-CN"/>
        </w:rPr>
        <w:t>8.2奖励</w:t>
      </w:r>
      <w:bookmarkEnd w:id="582"/>
      <w:bookmarkEnd w:id="583"/>
      <w:bookmarkEnd w:id="584"/>
    </w:p>
    <w:p w14:paraId="23BBE294">
      <w:pPr>
        <w:widowControl w:val="0"/>
        <w:kinsoku/>
        <w:autoSpaceDE/>
        <w:autoSpaceDN/>
        <w:adjustRightInd/>
        <w:snapToGrid/>
        <w:spacing w:line="360" w:lineRule="auto"/>
        <w:ind w:firstLine="420" w:firstLineChars="200"/>
        <w:contextualSpacing/>
        <w:jc w:val="both"/>
        <w:textAlignment w:val="auto"/>
        <w:rPr>
          <w:rFonts w:ascii="Calibri Light" w:hAnsi="Calibri Light" w:eastAsia="宋体" w:cs="Times New Roman"/>
          <w:bCs/>
          <w:snapToGrid/>
          <w:color w:val="auto"/>
          <w:kern w:val="28"/>
          <w:sz w:val="32"/>
          <w:lang w:eastAsia="zh-CN"/>
        </w:rPr>
      </w:pPr>
      <w:r>
        <w:rPr>
          <w:rFonts w:ascii="Calibri" w:hAnsi="宋体" w:eastAsia="宋体" w:cs="Times New Roman"/>
          <w:snapToGrid/>
          <w:color w:val="auto"/>
          <w:kern w:val="2"/>
          <w:lang w:eastAsia="zh-CN"/>
        </w:rPr>
        <w:t>合理化建议的奖励金额按下列方法确定：</w:t>
      </w:r>
      <w:r>
        <w:rPr>
          <w:rFonts w:ascii="Calibri" w:hAnsi="Calibri" w:eastAsia="宋体" w:cs="Times New Roman"/>
          <w:snapToGrid/>
          <w:color w:val="auto"/>
          <w:kern w:val="2"/>
          <w:u w:val="single"/>
          <w:lang w:eastAsia="zh-CN"/>
        </w:rPr>
        <w:t xml:space="preserve">    /     </w:t>
      </w:r>
      <w:r>
        <w:rPr>
          <w:rFonts w:ascii="Calibri" w:hAnsi="宋体" w:eastAsia="宋体" w:cs="Times New Roman"/>
          <w:snapToGrid/>
          <w:color w:val="auto"/>
          <w:kern w:val="2"/>
          <w:lang w:eastAsia="zh-CN"/>
        </w:rPr>
        <w:t>。</w:t>
      </w:r>
    </w:p>
    <w:p w14:paraId="79F01996">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85" w:name="_Toc511223122"/>
      <w:bookmarkStart w:id="586" w:name="_Toc21694073"/>
      <w:bookmarkStart w:id="587" w:name="_Toc511223395"/>
      <w:r>
        <w:rPr>
          <w:rFonts w:ascii="Calibri" w:hAnsi="宋体" w:eastAsia="宋体" w:cs="Times New Roman"/>
          <w:snapToGrid/>
          <w:color w:val="auto"/>
          <w:kern w:val="2"/>
          <w:szCs w:val="20"/>
          <w:lang w:eastAsia="zh-CN"/>
        </w:rPr>
        <w:t>8.3保密</w:t>
      </w:r>
      <w:bookmarkEnd w:id="585"/>
      <w:bookmarkEnd w:id="586"/>
      <w:bookmarkEnd w:id="587"/>
    </w:p>
    <w:p w14:paraId="0B1276D2">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委托人申明的保密事项和期限：</w:t>
      </w:r>
      <w:r>
        <w:rPr>
          <w:rFonts w:ascii="Calibri" w:hAnsi="Calibri" w:eastAsia="宋体" w:cs="Times New Roman"/>
          <w:snapToGrid/>
          <w:color w:val="auto"/>
          <w:kern w:val="2"/>
          <w:u w:val="single"/>
          <w:lang w:eastAsia="zh-CN"/>
        </w:rPr>
        <w:t>在本合同履行期间或专用条件约定的期限内，不</w:t>
      </w:r>
      <w:r>
        <w:rPr>
          <w:rFonts w:ascii="Calibri" w:hAnsi="宋体" w:eastAsia="宋体" w:cs="Times New Roman"/>
          <w:snapToGrid/>
          <w:color w:val="auto"/>
          <w:kern w:val="2"/>
          <w:u w:val="single"/>
          <w:lang w:eastAsia="zh-CN"/>
        </w:rPr>
        <w:t xml:space="preserve">得泄露与实施工程有关的保密资料   </w:t>
      </w:r>
      <w:r>
        <w:rPr>
          <w:rFonts w:ascii="Calibri" w:hAnsi="宋体" w:eastAsia="宋体" w:cs="Times New Roman"/>
          <w:snapToGrid/>
          <w:color w:val="auto"/>
          <w:kern w:val="2"/>
          <w:lang w:eastAsia="zh-CN"/>
        </w:rPr>
        <w:t>。</w:t>
      </w:r>
      <w:r>
        <w:rPr>
          <w:rFonts w:ascii="Calibri" w:hAnsi="Calibri" w:eastAsia="宋体" w:cs="Times New Roman"/>
          <w:snapToGrid/>
          <w:color w:val="auto"/>
          <w:kern w:val="2"/>
          <w:lang w:eastAsia="zh-CN"/>
        </w:rPr>
        <w:br w:type="textWrapping"/>
      </w:r>
      <w:r>
        <w:rPr>
          <w:rFonts w:ascii="Calibri" w:hAnsi="宋体" w:eastAsia="宋体" w:cs="Times New Roman"/>
          <w:snapToGrid/>
          <w:color w:val="auto"/>
          <w:kern w:val="2"/>
          <w:lang w:eastAsia="zh-CN"/>
        </w:rPr>
        <w:t xml:space="preserve">    受托人申明的保密事项和期限：</w:t>
      </w:r>
      <w:r>
        <w:rPr>
          <w:rFonts w:ascii="Calibri" w:hAnsi="Calibri" w:eastAsia="宋体" w:cs="Times New Roman"/>
          <w:snapToGrid/>
          <w:color w:val="auto"/>
          <w:kern w:val="2"/>
          <w:u w:val="single"/>
          <w:lang w:eastAsia="zh-CN"/>
        </w:rPr>
        <w:t>在本合同履行期间或专用条件约定的期限内，不</w:t>
      </w:r>
      <w:r>
        <w:rPr>
          <w:rFonts w:ascii="Calibri" w:hAnsi="宋体" w:eastAsia="宋体" w:cs="Times New Roman"/>
          <w:snapToGrid/>
          <w:color w:val="auto"/>
          <w:kern w:val="2"/>
          <w:u w:val="single"/>
          <w:lang w:eastAsia="zh-CN"/>
        </w:rPr>
        <w:t xml:space="preserve">得泄露与实施工程有关的保密资料    </w:t>
      </w:r>
      <w:r>
        <w:rPr>
          <w:rFonts w:ascii="Calibri" w:hAnsi="宋体" w:eastAsia="宋体" w:cs="Times New Roman"/>
          <w:snapToGrid/>
          <w:color w:val="auto"/>
          <w:kern w:val="2"/>
          <w:lang w:eastAsia="zh-CN"/>
        </w:rPr>
        <w:t>。</w:t>
      </w:r>
      <w:r>
        <w:rPr>
          <w:rFonts w:ascii="Calibri" w:hAnsi="Calibri" w:eastAsia="宋体" w:cs="Times New Roman"/>
          <w:snapToGrid/>
          <w:color w:val="auto"/>
          <w:kern w:val="2"/>
          <w:lang w:eastAsia="zh-CN"/>
        </w:rPr>
        <w:br w:type="textWrapping"/>
      </w:r>
      <w:r>
        <w:rPr>
          <w:rFonts w:ascii="Calibri" w:hAnsi="宋体" w:eastAsia="宋体" w:cs="Times New Roman"/>
          <w:snapToGrid/>
          <w:color w:val="auto"/>
          <w:kern w:val="2"/>
          <w:lang w:eastAsia="zh-CN"/>
        </w:rPr>
        <w:t xml:space="preserve">    第三人申明的保密事项和期限：</w:t>
      </w:r>
      <w:r>
        <w:rPr>
          <w:rFonts w:ascii="Calibri" w:hAnsi="Calibri" w:eastAsia="宋体" w:cs="Times New Roman"/>
          <w:snapToGrid/>
          <w:color w:val="auto"/>
          <w:kern w:val="2"/>
          <w:u w:val="single"/>
          <w:lang w:eastAsia="zh-CN"/>
        </w:rPr>
        <w:t xml:space="preserve"> /  </w:t>
      </w:r>
      <w:r>
        <w:rPr>
          <w:rFonts w:ascii="Calibri" w:hAnsi="宋体" w:eastAsia="宋体" w:cs="Times New Roman"/>
          <w:snapToGrid/>
          <w:color w:val="auto"/>
          <w:kern w:val="2"/>
          <w:lang w:eastAsia="zh-CN"/>
        </w:rPr>
        <w:t>。</w:t>
      </w:r>
    </w:p>
    <w:p w14:paraId="5E651C5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szCs w:val="20"/>
          <w:lang w:eastAsia="zh-CN"/>
        </w:rPr>
      </w:pPr>
      <w:bookmarkStart w:id="588" w:name="_Toc511223396"/>
      <w:bookmarkStart w:id="589" w:name="_Toc511223123"/>
      <w:bookmarkStart w:id="590" w:name="_Toc21694074"/>
      <w:r>
        <w:rPr>
          <w:rFonts w:ascii="Calibri" w:hAnsi="宋体" w:eastAsia="宋体" w:cs="Times New Roman"/>
          <w:bCs/>
          <w:snapToGrid/>
          <w:color w:val="auto"/>
          <w:kern w:val="2"/>
          <w:szCs w:val="20"/>
          <w:lang w:eastAsia="zh-CN"/>
        </w:rPr>
        <w:t>8.4联络</w:t>
      </w:r>
      <w:bookmarkEnd w:id="588"/>
      <w:bookmarkEnd w:id="589"/>
      <w:bookmarkEnd w:id="590"/>
    </w:p>
    <w:p w14:paraId="67FD55CD">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Calibri" w:eastAsia="宋体" w:cs="Times New Roman"/>
          <w:snapToGrid/>
          <w:color w:val="auto"/>
          <w:kern w:val="2"/>
          <w:lang w:eastAsia="zh-CN"/>
        </w:rPr>
        <w:t>8.4.1</w:t>
      </w:r>
      <w:r>
        <w:rPr>
          <w:rFonts w:ascii="Calibri" w:hAnsi="宋体" w:eastAsia="宋体" w:cs="Times New Roman"/>
          <w:snapToGrid/>
          <w:color w:val="auto"/>
          <w:kern w:val="2"/>
          <w:lang w:eastAsia="zh-CN"/>
        </w:rPr>
        <w:t>任何一方与合同有关的通知、指示、要求、决定等，均应在</w:t>
      </w:r>
      <w:r>
        <w:rPr>
          <w:rFonts w:ascii="Calibri" w:hAnsi="宋体" w:eastAsia="宋体" w:cs="Times New Roman"/>
          <w:snapToGrid/>
          <w:color w:val="auto"/>
          <w:kern w:val="2"/>
          <w:u w:val="single"/>
          <w:lang w:eastAsia="zh-CN"/>
        </w:rPr>
        <w:t xml:space="preserve"> 7 </w:t>
      </w:r>
      <w:r>
        <w:rPr>
          <w:rFonts w:ascii="Calibri" w:hAnsi="宋体" w:eastAsia="宋体" w:cs="Times New Roman"/>
          <w:snapToGrid/>
          <w:color w:val="auto"/>
          <w:kern w:val="2"/>
          <w:lang w:eastAsia="zh-CN"/>
        </w:rPr>
        <w:t>日内送达对方指定的接收人和送达地点。</w:t>
      </w:r>
    </w:p>
    <w:p w14:paraId="7CD180A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u w:val="single"/>
          <w:lang w:eastAsia="zh-CN"/>
        </w:rPr>
      </w:pPr>
      <w:r>
        <w:rPr>
          <w:rFonts w:ascii="Calibri" w:hAnsi="Calibri" w:eastAsia="宋体" w:cs="Times New Roman"/>
          <w:snapToGrid/>
          <w:color w:val="auto"/>
          <w:kern w:val="2"/>
          <w:lang w:eastAsia="zh-CN"/>
        </w:rPr>
        <w:t>8.4.2</w:t>
      </w:r>
      <w:r>
        <w:rPr>
          <w:rFonts w:ascii="Calibri" w:hAnsi="宋体" w:eastAsia="宋体" w:cs="Times New Roman"/>
          <w:snapToGrid/>
          <w:color w:val="auto"/>
          <w:kern w:val="2"/>
          <w:lang w:eastAsia="zh-CN"/>
        </w:rPr>
        <w:t>委托人指定的送达接收人</w:t>
      </w:r>
      <w:r>
        <w:rPr>
          <w:rFonts w:ascii="Calibri" w:hAnsi="宋体" w:eastAsia="宋体" w:cs="Times New Roman"/>
          <w:snapToGrid/>
          <w:color w:val="auto"/>
          <w:kern w:val="2"/>
          <w:u w:val="single"/>
          <w:lang w:eastAsia="zh-CN"/>
        </w:rPr>
        <w:t>：</w:t>
      </w:r>
      <w:r>
        <w:rPr>
          <w:rFonts w:hint="eastAsia" w:ascii="宋体" w:hAnsi="宋体" w:eastAsia="宋体" w:cs="Times New Roman"/>
          <w:snapToGrid/>
          <w:color w:val="auto"/>
          <w:kern w:val="2"/>
          <w:sz w:val="24"/>
          <w:szCs w:val="20"/>
          <w:u w:val="single"/>
          <w:lang w:eastAsia="zh-CN"/>
        </w:rPr>
        <w:t xml:space="preserve"> </w:t>
      </w:r>
      <w:r>
        <w:rPr>
          <w:rFonts w:ascii="Calibri" w:hAnsi="宋体" w:eastAsia="宋体" w:cs="Times New Roman"/>
          <w:snapToGrid/>
          <w:color w:val="auto"/>
          <w:kern w:val="2"/>
          <w:u w:val="single"/>
          <w:lang w:eastAsia="zh-CN"/>
        </w:rPr>
        <w:t>__，送达地点：</w:t>
      </w:r>
      <w:r>
        <w:rPr>
          <w:rFonts w:hint="eastAsia" w:ascii="Calibri" w:hAnsi="宋体" w:eastAsia="宋体" w:cs="Times New Roman"/>
          <w:snapToGrid/>
          <w:color w:val="auto"/>
          <w:kern w:val="2"/>
          <w:u w:val="single"/>
          <w:lang w:eastAsia="zh-CN"/>
        </w:rPr>
        <w:t xml:space="preserve"> </w:t>
      </w:r>
      <w:r>
        <w:rPr>
          <w:rFonts w:ascii="Calibri" w:hAnsi="宋体" w:eastAsia="宋体" w:cs="Times New Roman"/>
          <w:snapToGrid/>
          <w:color w:val="auto"/>
          <w:kern w:val="2"/>
          <w:u w:val="single"/>
          <w:lang w:eastAsia="zh-CN"/>
        </w:rPr>
        <w:t>_，电子邮箱：</w:t>
      </w:r>
      <w:r>
        <w:rPr>
          <w:rFonts w:hint="eastAsia" w:ascii="Calibri" w:hAnsi="宋体" w:eastAsia="宋体" w:cs="Times New Roman"/>
          <w:snapToGrid/>
          <w:color w:val="auto"/>
          <w:kern w:val="2"/>
          <w:u w:val="single"/>
          <w:lang w:eastAsia="zh-CN"/>
        </w:rPr>
        <w:t xml:space="preserve">             </w:t>
      </w:r>
      <w:r>
        <w:rPr>
          <w:rFonts w:ascii="Calibri" w:hAnsi="宋体" w:eastAsia="宋体" w:cs="Times New Roman"/>
          <w:snapToGrid/>
          <w:color w:val="auto"/>
          <w:kern w:val="2"/>
          <w:u w:val="single"/>
          <w:lang w:eastAsia="zh-CN"/>
        </w:rPr>
        <w:t>。</w:t>
      </w:r>
    </w:p>
    <w:p w14:paraId="0C413EB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u w:val="single"/>
          <w:lang w:eastAsia="zh-CN"/>
        </w:rPr>
      </w:pPr>
      <w:r>
        <w:rPr>
          <w:rFonts w:ascii="Calibri" w:hAnsi="宋体" w:eastAsia="宋体" w:cs="Times New Roman"/>
          <w:snapToGrid/>
          <w:color w:val="auto"/>
          <w:kern w:val="2"/>
          <w:lang w:eastAsia="zh-CN"/>
        </w:rPr>
        <w:t>受托人指定的送达接收人：</w:t>
      </w:r>
      <w:r>
        <w:rPr>
          <w:rFonts w:ascii="Calibri" w:hAnsi="宋体" w:eastAsia="宋体" w:cs="Times New Roman"/>
          <w:snapToGrid/>
          <w:color w:val="auto"/>
          <w:kern w:val="2"/>
          <w:u w:val="single"/>
          <w:lang w:eastAsia="zh-CN"/>
        </w:rPr>
        <w:t xml:space="preserve"> </w:t>
      </w:r>
      <w:r>
        <w:rPr>
          <w:rFonts w:hint="eastAsia" w:ascii="Calibri" w:hAnsi="宋体" w:eastAsia="宋体" w:cs="Times New Roman"/>
          <w:snapToGrid/>
          <w:color w:val="auto"/>
          <w:kern w:val="2"/>
          <w:u w:val="single"/>
          <w:lang w:eastAsia="zh-CN"/>
        </w:rPr>
        <w:t xml:space="preserve"> </w:t>
      </w:r>
      <w:r>
        <w:rPr>
          <w:rFonts w:ascii="Calibri" w:hAnsi="宋体" w:eastAsia="宋体" w:cs="Times New Roman"/>
          <w:snapToGrid/>
          <w:color w:val="auto"/>
          <w:kern w:val="2"/>
          <w:u w:val="single"/>
          <w:lang w:eastAsia="zh-CN"/>
        </w:rPr>
        <w:t xml:space="preserve">   </w:t>
      </w:r>
      <w:r>
        <w:rPr>
          <w:rFonts w:hint="eastAsia" w:ascii="Calibri" w:hAnsi="宋体" w:eastAsia="宋体" w:cs="Times New Roman"/>
          <w:snapToGrid/>
          <w:color w:val="auto"/>
          <w:kern w:val="2"/>
          <w:u w:val="single"/>
          <w:lang w:eastAsia="zh-CN"/>
        </w:rPr>
        <w:t xml:space="preserve">                 </w:t>
      </w:r>
      <w:r>
        <w:rPr>
          <w:rFonts w:ascii="Calibri" w:hAnsi="宋体" w:eastAsia="宋体" w:cs="Times New Roman"/>
          <w:snapToGrid/>
          <w:color w:val="auto"/>
          <w:kern w:val="2"/>
          <w:u w:val="single"/>
          <w:lang w:eastAsia="zh-CN"/>
        </w:rPr>
        <w:t>送达地点：_</w:t>
      </w:r>
      <w:r>
        <w:rPr>
          <w:rFonts w:hint="eastAsia" w:ascii="Calibri" w:hAnsi="宋体" w:eastAsia="宋体" w:cs="Times New Roman"/>
          <w:snapToGrid/>
          <w:color w:val="auto"/>
          <w:kern w:val="2"/>
          <w:u w:val="single"/>
          <w:lang w:eastAsia="zh-CN"/>
        </w:rPr>
        <w:t xml:space="preserve">   </w:t>
      </w:r>
      <w:r>
        <w:rPr>
          <w:rFonts w:ascii="Calibri" w:hAnsi="宋体" w:eastAsia="宋体" w:cs="Times New Roman"/>
          <w:snapToGrid/>
          <w:color w:val="auto"/>
          <w:kern w:val="2"/>
          <w:u w:val="single"/>
          <w:lang w:eastAsia="zh-CN"/>
        </w:rPr>
        <w:t>，电子邮箱：</w:t>
      </w:r>
      <w:r>
        <w:rPr>
          <w:rFonts w:hint="eastAsia" w:ascii="Calibri" w:hAnsi="宋体" w:eastAsia="宋体" w:cs="Times New Roman"/>
          <w:snapToGrid/>
          <w:color w:val="auto"/>
          <w:kern w:val="2"/>
          <w:u w:val="single"/>
          <w:lang w:eastAsia="zh-CN"/>
        </w:rPr>
        <w:t xml:space="preserve">                     </w:t>
      </w:r>
    </w:p>
    <w:p w14:paraId="3E0FC73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bCs/>
          <w:snapToGrid/>
          <w:color w:val="auto"/>
          <w:kern w:val="2"/>
          <w:szCs w:val="20"/>
          <w:lang w:eastAsia="zh-CN"/>
        </w:rPr>
      </w:pPr>
      <w:bookmarkStart w:id="591" w:name="_Toc21694075"/>
      <w:bookmarkStart w:id="592" w:name="_Toc511223124"/>
      <w:bookmarkStart w:id="593" w:name="_Toc511223397"/>
      <w:bookmarkStart w:id="594" w:name="_Toc419045124"/>
      <w:r>
        <w:rPr>
          <w:rFonts w:ascii="Calibri" w:hAnsi="宋体" w:eastAsia="宋体" w:cs="Times New Roman"/>
          <w:bCs/>
          <w:snapToGrid/>
          <w:color w:val="auto"/>
          <w:kern w:val="2"/>
          <w:szCs w:val="20"/>
          <w:lang w:eastAsia="zh-CN"/>
        </w:rPr>
        <w:t>8.5知识产权</w:t>
      </w:r>
      <w:bookmarkEnd w:id="591"/>
      <w:bookmarkEnd w:id="592"/>
      <w:bookmarkEnd w:id="593"/>
      <w:bookmarkEnd w:id="594"/>
    </w:p>
    <w:p w14:paraId="7E5AC040">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委托人提供给受托人的图纸、委托人为实施工程自行编制或委托编制的技术规范以及反映委托人要求的或其他类似性质文件的著作权属于</w:t>
      </w:r>
      <w:r>
        <w:rPr>
          <w:rFonts w:ascii="Calibri" w:hAnsi="Calibri" w:eastAsia="宋体" w:cs="Times New Roman"/>
          <w:snapToGrid/>
          <w:color w:val="auto"/>
          <w:kern w:val="2"/>
          <w:u w:val="single"/>
          <w:lang w:eastAsia="zh-CN"/>
        </w:rPr>
        <w:t xml:space="preserve">委托人  </w:t>
      </w:r>
      <w:r>
        <w:rPr>
          <w:rFonts w:ascii="Calibri" w:hAnsi="宋体" w:eastAsia="宋体" w:cs="Times New Roman"/>
          <w:snapToGrid/>
          <w:color w:val="auto"/>
          <w:kern w:val="2"/>
          <w:lang w:eastAsia="zh-CN"/>
        </w:rPr>
        <w:t>。</w:t>
      </w:r>
    </w:p>
    <w:p w14:paraId="7A8E62B0">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snapToGrid/>
          <w:color w:val="auto"/>
          <w:kern w:val="2"/>
          <w:lang w:eastAsia="zh-CN"/>
        </w:rPr>
      </w:pPr>
      <w:r>
        <w:rPr>
          <w:rFonts w:ascii="Calibri" w:hAnsi="宋体" w:eastAsia="宋体" w:cs="Times New Roman"/>
          <w:snapToGrid/>
          <w:color w:val="auto"/>
          <w:kern w:val="2"/>
          <w:lang w:eastAsia="zh-CN"/>
        </w:rPr>
        <w:t>受托人为履行本合同约定而编制的成果文件，其著作权属于</w:t>
      </w:r>
      <w:r>
        <w:rPr>
          <w:rFonts w:ascii="Calibri" w:hAnsi="Calibri" w:eastAsia="宋体" w:cs="Times New Roman"/>
          <w:snapToGrid/>
          <w:color w:val="auto"/>
          <w:kern w:val="2"/>
          <w:u w:val="single"/>
          <w:lang w:eastAsia="zh-CN"/>
        </w:rPr>
        <w:t xml:space="preserve"> 委托人 </w:t>
      </w:r>
      <w:r>
        <w:rPr>
          <w:rFonts w:ascii="Calibri" w:hAnsi="宋体" w:eastAsia="宋体" w:cs="Times New Roman"/>
          <w:snapToGrid/>
          <w:color w:val="auto"/>
          <w:kern w:val="2"/>
          <w:lang w:eastAsia="zh-CN"/>
        </w:rPr>
        <w:t>。</w:t>
      </w:r>
    </w:p>
    <w:p w14:paraId="436CFB7D">
      <w:pPr>
        <w:widowControl w:val="0"/>
        <w:kinsoku/>
        <w:autoSpaceDE/>
        <w:autoSpaceDN/>
        <w:adjustRightInd/>
        <w:snapToGrid/>
        <w:spacing w:line="360" w:lineRule="auto"/>
        <w:ind w:firstLine="420" w:firstLineChars="200"/>
        <w:contextualSpacing/>
        <w:jc w:val="both"/>
        <w:textAlignment w:val="auto"/>
        <w:rPr>
          <w:rFonts w:ascii="Calibri" w:hAnsi="Calibri" w:eastAsia="宋体" w:cs="Times New Roman"/>
          <w:b/>
          <w:snapToGrid/>
          <w:color w:val="auto"/>
          <w:kern w:val="2"/>
          <w:lang w:eastAsia="zh-CN"/>
        </w:rPr>
      </w:pPr>
      <w:r>
        <w:rPr>
          <w:rFonts w:ascii="Calibri" w:hAnsi="宋体" w:eastAsia="宋体" w:cs="Times New Roman"/>
          <w:snapToGrid/>
          <w:color w:val="auto"/>
          <w:kern w:val="2"/>
          <w:lang w:eastAsia="zh-CN"/>
        </w:rPr>
        <w:t>双方将履行本合同形成的有关成果文件用于企业宣传、申报奖项以及接受上级主管部门的检查须遵守以下约定：</w:t>
      </w:r>
      <w:r>
        <w:rPr>
          <w:rFonts w:ascii="Calibri" w:hAnsi="宋体" w:eastAsia="宋体" w:cs="Times New Roman"/>
          <w:snapToGrid/>
          <w:color w:val="auto"/>
          <w:kern w:val="2"/>
          <w:u w:val="single"/>
          <w:lang w:eastAsia="zh-CN"/>
        </w:rPr>
        <w:t xml:space="preserve">    </w:t>
      </w:r>
      <w:r>
        <w:rPr>
          <w:rFonts w:ascii="Calibri" w:hAnsi="Calibri" w:eastAsia="宋体" w:cs="Times New Roman"/>
          <w:snapToGrid/>
          <w:color w:val="auto"/>
          <w:kern w:val="2"/>
          <w:u w:val="single"/>
          <w:lang w:eastAsia="zh-CN"/>
        </w:rPr>
        <w:t>/</w:t>
      </w:r>
      <w:bookmarkStart w:id="595" w:name="_Toc419045125"/>
      <w:r>
        <w:rPr>
          <w:rFonts w:ascii="Calibri" w:hAnsi="宋体" w:eastAsia="宋体" w:cs="Times New Roman"/>
          <w:snapToGrid/>
          <w:color w:val="auto"/>
          <w:kern w:val="2"/>
          <w:u w:val="single"/>
          <w:lang w:eastAsia="zh-CN"/>
        </w:rPr>
        <w:t xml:space="preserve">  </w:t>
      </w:r>
      <w:r>
        <w:rPr>
          <w:rFonts w:hint="eastAsia" w:ascii="Calibri" w:hAnsi="宋体" w:eastAsia="宋体" w:cs="Times New Roman"/>
          <w:snapToGrid/>
          <w:color w:val="auto"/>
          <w:kern w:val="2"/>
          <w:lang w:eastAsia="zh-CN"/>
        </w:rPr>
        <w:t>。</w:t>
      </w:r>
    </w:p>
    <w:p w14:paraId="46F8C67F">
      <w:pPr>
        <w:widowControl w:val="0"/>
        <w:kinsoku/>
        <w:snapToGrid/>
        <w:spacing w:line="360" w:lineRule="auto"/>
        <w:ind w:firstLine="422" w:firstLineChars="200"/>
        <w:textAlignment w:val="auto"/>
        <w:outlineLvl w:val="1"/>
        <w:rPr>
          <w:rFonts w:hint="eastAsia" w:ascii="宋体" w:hAnsi="宋体" w:eastAsia="宋体" w:cs="Times New Roman"/>
          <w:b/>
          <w:snapToGrid/>
          <w:color w:val="auto"/>
          <w:lang w:eastAsia="zh-CN"/>
        </w:rPr>
      </w:pPr>
      <w:bookmarkStart w:id="596" w:name="_Toc511223398"/>
      <w:bookmarkStart w:id="597" w:name="_Toc21694076"/>
      <w:bookmarkStart w:id="598" w:name="_Toc511223125"/>
      <w:bookmarkStart w:id="599" w:name="_Toc29056540"/>
      <w:bookmarkStart w:id="600" w:name="_Toc29786"/>
      <w:r>
        <w:rPr>
          <w:rFonts w:ascii="宋体" w:hAnsi="宋体" w:eastAsia="宋体" w:cs="Times New Roman"/>
          <w:b/>
          <w:snapToGrid/>
          <w:color w:val="auto"/>
          <w:lang w:eastAsia="zh-CN"/>
        </w:rPr>
        <w:t>9.补充条款</w:t>
      </w:r>
      <w:bookmarkEnd w:id="595"/>
      <w:bookmarkEnd w:id="596"/>
      <w:bookmarkEnd w:id="597"/>
      <w:bookmarkEnd w:id="598"/>
      <w:bookmarkEnd w:id="599"/>
      <w:r>
        <w:rPr>
          <w:rFonts w:ascii="宋体" w:hAnsi="宋体" w:eastAsia="宋体" w:cs="Times New Roman"/>
          <w:b/>
          <w:snapToGrid/>
          <w:color w:val="auto"/>
          <w:lang w:eastAsia="zh-CN"/>
        </w:rPr>
        <w:t>：</w:t>
      </w:r>
      <w:bookmarkEnd w:id="600"/>
    </w:p>
    <w:p w14:paraId="50E3D90B">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1、受托人应确保竣工结算初审值与终审值误差要求在±3%以内。</w:t>
      </w:r>
    </w:p>
    <w:p w14:paraId="500A4BD8">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2、免费协助委托人</w:t>
      </w:r>
      <w:r>
        <w:rPr>
          <w:rFonts w:hint="eastAsia" w:ascii="Calibri" w:hAnsi="宋体" w:eastAsia="宋体" w:cs="Times New Roman"/>
          <w:snapToGrid/>
          <w:color w:val="auto"/>
          <w:kern w:val="2"/>
          <w:lang w:eastAsia="zh-CN"/>
        </w:rPr>
        <w:t>起草</w:t>
      </w:r>
      <w:r>
        <w:rPr>
          <w:rFonts w:ascii="Calibri" w:hAnsi="宋体" w:eastAsia="宋体" w:cs="Times New Roman"/>
          <w:snapToGrid/>
          <w:color w:val="auto"/>
          <w:kern w:val="2"/>
          <w:lang w:eastAsia="zh-CN"/>
        </w:rPr>
        <w:t>招标文件、划分各专业的不同总承包单位的节点。</w:t>
      </w:r>
    </w:p>
    <w:p w14:paraId="360C76E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3、免费协助委托人签订施工合同、材料设备采购合同。</w:t>
      </w:r>
    </w:p>
    <w:p w14:paraId="173B840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4、免费协助委托人进行图纸审查。</w:t>
      </w:r>
    </w:p>
    <w:p w14:paraId="61447B7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5、在工程招标阶段我们可以为业主提供资深专家服务。</w:t>
      </w:r>
    </w:p>
    <w:p w14:paraId="1B40B722">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6、确定工程造价控制目标，制定控制实施细则。</w:t>
      </w:r>
    </w:p>
    <w:p w14:paraId="1CBE4A5A">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7、按发包方要求提供月</w:t>
      </w:r>
      <w:r>
        <w:rPr>
          <w:rFonts w:hint="eastAsia" w:ascii="Calibri" w:hAnsi="宋体" w:eastAsia="宋体" w:cs="Times New Roman"/>
          <w:snapToGrid/>
          <w:color w:val="auto"/>
          <w:kern w:val="2"/>
          <w:lang w:eastAsia="zh-CN"/>
        </w:rPr>
        <w:t>、</w:t>
      </w:r>
      <w:r>
        <w:rPr>
          <w:rFonts w:ascii="Calibri" w:hAnsi="宋体" w:eastAsia="宋体" w:cs="Times New Roman"/>
          <w:snapToGrid/>
          <w:color w:val="auto"/>
          <w:kern w:val="2"/>
          <w:lang w:eastAsia="zh-CN"/>
        </w:rPr>
        <w:t>季考核报表等。</w:t>
      </w:r>
    </w:p>
    <w:p w14:paraId="4B371E9C">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8、发承包双方提出工程索赔时，为发包方提供咨询意见。</w:t>
      </w:r>
    </w:p>
    <w:p w14:paraId="1C9E1E31">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9、会同发包方办理工程竣工结算，并做好竣工结算资料的整理、分类工作。</w:t>
      </w:r>
    </w:p>
    <w:p w14:paraId="78F8F74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10、招标控制价备案不单独计取费用，包含在预算取费费率内。</w:t>
      </w:r>
    </w:p>
    <w:p w14:paraId="0232F81F">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11、结算审计备案工作不单独计取费用，包含在结算取费费率内。</w:t>
      </w:r>
    </w:p>
    <w:p w14:paraId="78658005">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12、编制工程量清单的项目，受托人需协助委托人完成答疑、清标、评标等招标工作，并根据委托人需要出具第三方咨询意见书。</w:t>
      </w:r>
    </w:p>
    <w:p w14:paraId="68ED39F3">
      <w:pPr>
        <w:widowControl w:val="0"/>
        <w:kinsoku/>
        <w:autoSpaceDE/>
        <w:autoSpaceDN/>
        <w:adjustRightInd/>
        <w:snapToGrid/>
        <w:spacing w:line="360" w:lineRule="auto"/>
        <w:ind w:firstLine="420" w:firstLineChars="200"/>
        <w:contextualSpacing/>
        <w:jc w:val="both"/>
        <w:textAlignment w:val="auto"/>
        <w:rPr>
          <w:rFonts w:hint="eastAsia" w:ascii="Calibri" w:hAnsi="宋体" w:eastAsia="宋体" w:cs="Times New Roman"/>
          <w:snapToGrid/>
          <w:color w:val="auto"/>
          <w:kern w:val="2"/>
          <w:lang w:eastAsia="zh-CN"/>
        </w:rPr>
      </w:pPr>
      <w:r>
        <w:rPr>
          <w:rFonts w:ascii="Calibri" w:hAnsi="宋体" w:eastAsia="宋体" w:cs="Times New Roman"/>
          <w:snapToGrid/>
          <w:color w:val="auto"/>
          <w:kern w:val="2"/>
          <w:lang w:eastAsia="zh-CN"/>
        </w:rPr>
        <w:t>13、受托人在咨询期间对本单位人员、设备等的安全工作全面负责。受托人在委托人单位工作期间，要遵守</w:t>
      </w:r>
      <w:r>
        <w:rPr>
          <w:rFonts w:hint="eastAsia" w:ascii="Calibri" w:hAnsi="宋体" w:eastAsia="宋体" w:cs="Times New Roman"/>
          <w:snapToGrid/>
          <w:color w:val="auto"/>
          <w:kern w:val="2"/>
          <w:lang w:eastAsia="zh-CN"/>
        </w:rPr>
        <w:t>山东济钢环保新材料有限公司</w:t>
      </w:r>
      <w:r>
        <w:rPr>
          <w:rFonts w:ascii="Calibri" w:hAnsi="宋体" w:eastAsia="宋体" w:cs="Times New Roman"/>
          <w:snapToGrid/>
          <w:color w:val="auto"/>
          <w:kern w:val="2"/>
          <w:lang w:eastAsia="zh-CN"/>
        </w:rPr>
        <w:t>关于相关方安全管理的各项规定。</w:t>
      </w:r>
    </w:p>
    <w:p w14:paraId="4EE8F954">
      <w:pPr>
        <w:pStyle w:val="2"/>
        <w:ind w:firstLine="400"/>
        <w:rPr>
          <w:rFonts w:hint="eastAsia" w:eastAsiaTheme="minorEastAsia"/>
          <w:lang w:eastAsia="zh-CN"/>
        </w:rPr>
      </w:pPr>
      <w:r>
        <w:rPr>
          <w:rFonts w:hint="eastAsia" w:eastAsiaTheme="minorEastAsia"/>
          <w:lang w:eastAsia="zh-CN"/>
        </w:rPr>
        <w:t>14、受托人不可双向收费，受托人在向委托人收费的同时不可就同一项目的同一阶段事项，另行向施工单位收取费用。施工单位已经支付结算审计费用的同时，受托人不可就此项费用向委托方再行主张。</w:t>
      </w:r>
    </w:p>
    <w:p w14:paraId="6FD5130A">
      <w:pPr>
        <w:widowControl w:val="0"/>
        <w:kinsoku/>
        <w:autoSpaceDE/>
        <w:autoSpaceDN/>
        <w:adjustRightInd/>
        <w:snapToGrid/>
        <w:spacing w:after="120"/>
        <w:ind w:firstLine="630" w:firstLineChars="300"/>
        <w:jc w:val="both"/>
        <w:textAlignment w:val="auto"/>
        <w:rPr>
          <w:rFonts w:ascii="Calibri" w:hAnsi="Calibri" w:eastAsia="宋体" w:cs="Times New Roman"/>
          <w:snapToGrid/>
          <w:color w:val="auto"/>
          <w:kern w:val="2"/>
          <w:szCs w:val="20"/>
          <w:lang w:eastAsia="zh-CN"/>
        </w:rPr>
      </w:pPr>
    </w:p>
    <w:p w14:paraId="5C4858D2">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5E846999">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18D3EF59">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1591D7DE">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17130B69">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50A9719E">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0F789644">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20295658">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6CE224D0">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3AAB3E44">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56809689">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1E1BEBD3">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3032C044">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2606B68A">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6A958AB2">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05F6C235">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p w14:paraId="43876214">
      <w:pPr>
        <w:widowControl w:val="0"/>
        <w:kinsoku/>
        <w:autoSpaceDE/>
        <w:autoSpaceDN/>
        <w:adjustRightInd/>
        <w:snapToGrid/>
        <w:jc w:val="center"/>
        <w:textAlignment w:val="auto"/>
        <w:outlineLvl w:val="0"/>
        <w:rPr>
          <w:rFonts w:ascii="黑体" w:hAnsi="Times New Roman" w:eastAsia="黑体" w:cs="Times New Roman"/>
          <w:snapToGrid/>
          <w:color w:val="auto"/>
          <w:sz w:val="24"/>
          <w:szCs w:val="24"/>
          <w:lang w:eastAsia="zh-CN"/>
        </w:rPr>
      </w:pPr>
      <w:bookmarkStart w:id="601" w:name="_Toc419045126"/>
      <w:bookmarkStart w:id="602" w:name="_Toc422322557"/>
      <w:r>
        <w:rPr>
          <w:rFonts w:ascii="黑体" w:hAnsi="Times New Roman" w:eastAsia="黑体" w:cs="Times New Roman"/>
          <w:snapToGrid/>
          <w:color w:val="auto"/>
          <w:sz w:val="24"/>
          <w:szCs w:val="24"/>
          <w:lang w:eastAsia="zh-CN"/>
        </w:rPr>
        <w:t>附录A 服务范围及工作内容、酬金计算表</w:t>
      </w:r>
      <w:bookmarkEnd w:id="601"/>
      <w:bookmarkEnd w:id="602"/>
    </w:p>
    <w:p w14:paraId="3BCA7295">
      <w:pPr>
        <w:widowControl w:val="0"/>
        <w:kinsoku/>
        <w:autoSpaceDE/>
        <w:autoSpaceDN/>
        <w:adjustRightInd/>
        <w:snapToGrid/>
        <w:spacing w:after="120"/>
        <w:ind w:firstLine="210" w:firstLineChars="100"/>
        <w:jc w:val="both"/>
        <w:textAlignment w:val="auto"/>
        <w:rPr>
          <w:rFonts w:ascii="Times New Roman" w:hAnsi="Calibri" w:eastAsia="宋体" w:cs="Times New Roman"/>
          <w:snapToGrid/>
          <w:color w:val="auto"/>
          <w:kern w:val="2"/>
          <w:szCs w:val="20"/>
          <w:lang w:eastAsia="zh-CN"/>
        </w:rPr>
      </w:pPr>
    </w:p>
    <w:tbl>
      <w:tblPr>
        <w:tblStyle w:val="1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418"/>
        <w:gridCol w:w="2171"/>
        <w:gridCol w:w="1418"/>
        <w:gridCol w:w="1275"/>
        <w:gridCol w:w="1985"/>
      </w:tblGrid>
      <w:tr w14:paraId="0E23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14:paraId="609A8562">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服务阶段</w:t>
            </w:r>
          </w:p>
        </w:tc>
        <w:tc>
          <w:tcPr>
            <w:tcW w:w="1418" w:type="dxa"/>
            <w:vAlign w:val="center"/>
          </w:tcPr>
          <w:p w14:paraId="22FBF6D7">
            <w:pPr>
              <w:widowControl w:val="0"/>
              <w:kinsoku/>
              <w:autoSpaceDE/>
              <w:autoSpaceDN/>
              <w:adjustRightInd/>
              <w:snapToGrid/>
              <w:spacing w:before="100" w:beforeAutospacing="1" w:after="100" w:afterAutospacing="1" w:line="360" w:lineRule="auto"/>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服务范围</w:t>
            </w:r>
          </w:p>
        </w:tc>
        <w:tc>
          <w:tcPr>
            <w:tcW w:w="2171" w:type="dxa"/>
            <w:vAlign w:val="center"/>
          </w:tcPr>
          <w:p w14:paraId="373961B5">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工作内容</w:t>
            </w:r>
          </w:p>
        </w:tc>
        <w:tc>
          <w:tcPr>
            <w:tcW w:w="1418" w:type="dxa"/>
          </w:tcPr>
          <w:p w14:paraId="2F664129">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收费基数</w:t>
            </w:r>
          </w:p>
        </w:tc>
        <w:tc>
          <w:tcPr>
            <w:tcW w:w="1275" w:type="dxa"/>
          </w:tcPr>
          <w:p w14:paraId="00DE84A9">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收费标准（比例）</w:t>
            </w:r>
          </w:p>
        </w:tc>
        <w:tc>
          <w:tcPr>
            <w:tcW w:w="1985" w:type="dxa"/>
          </w:tcPr>
          <w:p w14:paraId="7393F4CC">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备注</w:t>
            </w:r>
          </w:p>
        </w:tc>
      </w:tr>
      <w:tr w14:paraId="63EB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restart"/>
            <w:vAlign w:val="center"/>
          </w:tcPr>
          <w:p w14:paraId="6315CD96">
            <w:pPr>
              <w:widowControl w:val="0"/>
              <w:spacing w:line="360" w:lineRule="auto"/>
              <w:jc w:val="center"/>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发承包阶段（固定资产类投资项目及维修类项目）</w:t>
            </w:r>
          </w:p>
        </w:tc>
        <w:tc>
          <w:tcPr>
            <w:tcW w:w="1418" w:type="dxa"/>
          </w:tcPr>
          <w:p w14:paraId="567CE11C">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hint="eastAsia" w:ascii="Calibri" w:hAnsi="Calibri" w:eastAsia="宋体" w:cs="Times New Roman"/>
                <w:snapToGrid/>
                <w:color w:val="auto"/>
                <w:kern w:val="2"/>
                <w:sz w:val="18"/>
                <w:szCs w:val="18"/>
                <w:lang w:eastAsia="zh-CN"/>
              </w:rPr>
              <w:t>项目概算</w:t>
            </w:r>
          </w:p>
        </w:tc>
        <w:tc>
          <w:tcPr>
            <w:tcW w:w="2171" w:type="dxa"/>
          </w:tcPr>
          <w:p w14:paraId="0FD4E569">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□编制□审核□调整</w:t>
            </w:r>
          </w:p>
        </w:tc>
        <w:tc>
          <w:tcPr>
            <w:tcW w:w="1418" w:type="dxa"/>
            <w:vMerge w:val="restart"/>
          </w:tcPr>
          <w:p w14:paraId="41D6CAEA">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p w14:paraId="7571B8BF">
            <w:pPr>
              <w:widowControl w:val="0"/>
              <w:spacing w:line="360" w:lineRule="auto"/>
              <w:jc w:val="both"/>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招标控制价、施工图预算</w:t>
            </w:r>
          </w:p>
        </w:tc>
        <w:tc>
          <w:tcPr>
            <w:tcW w:w="1275" w:type="dxa"/>
            <w:vMerge w:val="restart"/>
          </w:tcPr>
          <w:p w14:paraId="26C95BCB">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restart"/>
          </w:tcPr>
          <w:p w14:paraId="15D33D83">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22F5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continue"/>
            <w:vAlign w:val="center"/>
          </w:tcPr>
          <w:p w14:paraId="7854B36E">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418" w:type="dxa"/>
          </w:tcPr>
          <w:p w14:paraId="6474857C">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施工图预算</w:t>
            </w:r>
          </w:p>
        </w:tc>
        <w:tc>
          <w:tcPr>
            <w:tcW w:w="2171" w:type="dxa"/>
          </w:tcPr>
          <w:p w14:paraId="6531D012">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□编制□审核□调整</w:t>
            </w:r>
          </w:p>
        </w:tc>
        <w:tc>
          <w:tcPr>
            <w:tcW w:w="1418" w:type="dxa"/>
            <w:vMerge w:val="continue"/>
          </w:tcPr>
          <w:p w14:paraId="2955257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5" w:type="dxa"/>
            <w:vMerge w:val="continue"/>
          </w:tcPr>
          <w:p w14:paraId="3AE7C1F3">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continue"/>
          </w:tcPr>
          <w:p w14:paraId="680856C6">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309E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continue"/>
            <w:vAlign w:val="center"/>
          </w:tcPr>
          <w:p w14:paraId="4D88DE84">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418" w:type="dxa"/>
          </w:tcPr>
          <w:p w14:paraId="16CD5535">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工程量清单</w:t>
            </w:r>
          </w:p>
        </w:tc>
        <w:tc>
          <w:tcPr>
            <w:tcW w:w="2171" w:type="dxa"/>
          </w:tcPr>
          <w:p w14:paraId="5E4A9144">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□编制□审核□调整</w:t>
            </w:r>
          </w:p>
        </w:tc>
        <w:tc>
          <w:tcPr>
            <w:tcW w:w="1418" w:type="dxa"/>
            <w:vMerge w:val="continue"/>
          </w:tcPr>
          <w:p w14:paraId="6DB3D4B0">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5" w:type="dxa"/>
            <w:vMerge w:val="continue"/>
          </w:tcPr>
          <w:p w14:paraId="26F34ED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continue"/>
          </w:tcPr>
          <w:p w14:paraId="5F252F8D">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76C9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continue"/>
          </w:tcPr>
          <w:p w14:paraId="3E73C09C">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418" w:type="dxa"/>
          </w:tcPr>
          <w:p w14:paraId="79B0EF7E">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最高投标限价</w:t>
            </w:r>
          </w:p>
        </w:tc>
        <w:tc>
          <w:tcPr>
            <w:tcW w:w="2171" w:type="dxa"/>
          </w:tcPr>
          <w:p w14:paraId="13E0B84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□编制□审核□调整</w:t>
            </w:r>
          </w:p>
        </w:tc>
        <w:tc>
          <w:tcPr>
            <w:tcW w:w="1418" w:type="dxa"/>
            <w:vMerge w:val="continue"/>
          </w:tcPr>
          <w:p w14:paraId="2F0A26E1">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5" w:type="dxa"/>
            <w:vMerge w:val="continue"/>
          </w:tcPr>
          <w:p w14:paraId="33824A39">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continue"/>
          </w:tcPr>
          <w:p w14:paraId="2866474C">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0D3C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restart"/>
          </w:tcPr>
          <w:p w14:paraId="3D6B6FB4">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p w14:paraId="5DA91E70">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p w14:paraId="3C01848E">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p w14:paraId="21471B92">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实施阶段（固定资产类投资项目）</w:t>
            </w:r>
          </w:p>
        </w:tc>
        <w:tc>
          <w:tcPr>
            <w:tcW w:w="1418" w:type="dxa"/>
          </w:tcPr>
          <w:p w14:paraId="3FF97DAA">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工程计量与工程款审核</w:t>
            </w:r>
          </w:p>
        </w:tc>
        <w:tc>
          <w:tcPr>
            <w:tcW w:w="2171" w:type="dxa"/>
            <w:vAlign w:val="center"/>
          </w:tcPr>
          <w:p w14:paraId="6156C37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□编制□审核□调整</w:t>
            </w:r>
          </w:p>
        </w:tc>
        <w:tc>
          <w:tcPr>
            <w:tcW w:w="1418" w:type="dxa"/>
            <w:vMerge w:val="restart"/>
          </w:tcPr>
          <w:p w14:paraId="58967F5B">
            <w:pPr>
              <w:widowControl w:val="0"/>
              <w:kinsoku/>
              <w:autoSpaceDE/>
              <w:autoSpaceDN/>
              <w:adjustRightInd/>
              <w:snapToGrid/>
              <w:spacing w:line="360" w:lineRule="auto"/>
              <w:jc w:val="both"/>
              <w:textAlignment w:val="auto"/>
              <w:rPr>
                <w:rFonts w:ascii="宋体" w:hAnsi="Calibri" w:eastAsia="宋体" w:cs="Times New Roman"/>
                <w:snapToGrid/>
                <w:color w:val="auto"/>
                <w:kern w:val="2"/>
                <w:sz w:val="18"/>
                <w:szCs w:val="18"/>
                <w:lang w:eastAsia="zh-CN"/>
              </w:rPr>
            </w:pPr>
          </w:p>
          <w:p w14:paraId="20A0A3F2">
            <w:pPr>
              <w:widowControl w:val="0"/>
              <w:kinsoku/>
              <w:autoSpaceDE/>
              <w:autoSpaceDN/>
              <w:adjustRightInd/>
              <w:snapToGrid/>
              <w:spacing w:line="360" w:lineRule="auto"/>
              <w:jc w:val="both"/>
              <w:textAlignment w:val="auto"/>
              <w:rPr>
                <w:rFonts w:ascii="宋体" w:hAnsi="Calibri" w:eastAsia="宋体" w:cs="Times New Roman"/>
                <w:snapToGrid/>
                <w:color w:val="auto"/>
                <w:kern w:val="2"/>
                <w:sz w:val="18"/>
                <w:szCs w:val="18"/>
                <w:lang w:eastAsia="zh-CN"/>
              </w:rPr>
            </w:pPr>
          </w:p>
          <w:p w14:paraId="4DBE453E">
            <w:pPr>
              <w:widowControl w:val="0"/>
              <w:kinsoku/>
              <w:autoSpaceDE/>
              <w:autoSpaceDN/>
              <w:adjustRightInd/>
              <w:snapToGrid/>
              <w:spacing w:line="360" w:lineRule="auto"/>
              <w:jc w:val="both"/>
              <w:textAlignment w:val="auto"/>
              <w:rPr>
                <w:rFonts w:ascii="宋体" w:hAnsi="Calibri" w:eastAsia="宋体" w:cs="Times New Roman"/>
                <w:snapToGrid/>
                <w:color w:val="auto"/>
                <w:kern w:val="2"/>
                <w:sz w:val="18"/>
                <w:szCs w:val="18"/>
                <w:lang w:eastAsia="zh-CN"/>
              </w:rPr>
            </w:pPr>
          </w:p>
          <w:p w14:paraId="17733C8F">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宋体" w:hAnsi="宋体" w:eastAsia="宋体" w:cs="Times New Roman"/>
                <w:snapToGrid/>
                <w:color w:val="auto"/>
                <w:kern w:val="2"/>
                <w:sz w:val="18"/>
                <w:szCs w:val="18"/>
                <w:lang w:eastAsia="zh-CN"/>
              </w:rPr>
              <w:t>竣工结算</w:t>
            </w:r>
            <w:r>
              <w:rPr>
                <w:rFonts w:hint="eastAsia" w:ascii="宋体" w:hAnsi="宋体" w:eastAsia="宋体" w:cs="Times New Roman"/>
                <w:snapToGrid/>
                <w:color w:val="auto"/>
                <w:kern w:val="2"/>
                <w:sz w:val="18"/>
                <w:szCs w:val="18"/>
                <w:lang w:eastAsia="zh-CN"/>
              </w:rPr>
              <w:t>值</w:t>
            </w:r>
          </w:p>
        </w:tc>
        <w:tc>
          <w:tcPr>
            <w:tcW w:w="1275" w:type="dxa"/>
            <w:vMerge w:val="restart"/>
          </w:tcPr>
          <w:p w14:paraId="36C3BF1F">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lang w:eastAsia="zh-CN"/>
              </w:rPr>
            </w:pPr>
          </w:p>
        </w:tc>
        <w:tc>
          <w:tcPr>
            <w:tcW w:w="1985" w:type="dxa"/>
            <w:vMerge w:val="restart"/>
          </w:tcPr>
          <w:p w14:paraId="0E87DD29">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50969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97" w:type="dxa"/>
            <w:vMerge w:val="continue"/>
          </w:tcPr>
          <w:p w14:paraId="55B0F881">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418" w:type="dxa"/>
          </w:tcPr>
          <w:p w14:paraId="013A48BB">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合同价款调整</w:t>
            </w:r>
          </w:p>
        </w:tc>
        <w:tc>
          <w:tcPr>
            <w:tcW w:w="2171" w:type="dxa"/>
          </w:tcPr>
          <w:p w14:paraId="3404D592">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□编制□审核□调整</w:t>
            </w:r>
          </w:p>
        </w:tc>
        <w:tc>
          <w:tcPr>
            <w:tcW w:w="1418" w:type="dxa"/>
            <w:vMerge w:val="continue"/>
          </w:tcPr>
          <w:p w14:paraId="38821F40">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5" w:type="dxa"/>
            <w:vMerge w:val="continue"/>
          </w:tcPr>
          <w:p w14:paraId="72F5BE1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continue"/>
          </w:tcPr>
          <w:p w14:paraId="588A66CC">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35AE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continue"/>
          </w:tcPr>
          <w:p w14:paraId="3C157FCE">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418" w:type="dxa"/>
          </w:tcPr>
          <w:p w14:paraId="1FD4E21F">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工程变更、索赔、签证</w:t>
            </w:r>
          </w:p>
        </w:tc>
        <w:tc>
          <w:tcPr>
            <w:tcW w:w="2171" w:type="dxa"/>
            <w:vAlign w:val="center"/>
          </w:tcPr>
          <w:p w14:paraId="44F38266">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□审核</w:t>
            </w:r>
          </w:p>
        </w:tc>
        <w:tc>
          <w:tcPr>
            <w:tcW w:w="1418" w:type="dxa"/>
            <w:vMerge w:val="continue"/>
          </w:tcPr>
          <w:p w14:paraId="4CDE534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5" w:type="dxa"/>
            <w:vMerge w:val="continue"/>
          </w:tcPr>
          <w:p w14:paraId="082E9F6C">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continue"/>
          </w:tcPr>
          <w:p w14:paraId="7FA69BAB">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3750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continue"/>
          </w:tcPr>
          <w:p w14:paraId="0FF2996D">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418" w:type="dxa"/>
          </w:tcPr>
          <w:p w14:paraId="68F4ACFB">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工程实施阶段造价控制</w:t>
            </w:r>
          </w:p>
        </w:tc>
        <w:tc>
          <w:tcPr>
            <w:tcW w:w="2171" w:type="dxa"/>
          </w:tcPr>
          <w:p w14:paraId="0D9D16D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418" w:type="dxa"/>
            <w:vMerge w:val="continue"/>
          </w:tcPr>
          <w:p w14:paraId="5E820108">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5" w:type="dxa"/>
            <w:vMerge w:val="continue"/>
          </w:tcPr>
          <w:p w14:paraId="3C6E8253">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continue"/>
          </w:tcPr>
          <w:p w14:paraId="768A6BA3">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6985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Merge w:val="continue"/>
          </w:tcPr>
          <w:p w14:paraId="1D2646EA">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418" w:type="dxa"/>
          </w:tcPr>
          <w:p w14:paraId="607B4D88">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其他：</w:t>
            </w:r>
          </w:p>
        </w:tc>
        <w:tc>
          <w:tcPr>
            <w:tcW w:w="2171" w:type="dxa"/>
          </w:tcPr>
          <w:p w14:paraId="755A420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418" w:type="dxa"/>
            <w:vMerge w:val="continue"/>
          </w:tcPr>
          <w:p w14:paraId="22A40EC4">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5" w:type="dxa"/>
            <w:vMerge w:val="continue"/>
          </w:tcPr>
          <w:p w14:paraId="0AD73160">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985" w:type="dxa"/>
            <w:vMerge w:val="continue"/>
          </w:tcPr>
          <w:p w14:paraId="7C8DDDE1">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53B4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14:paraId="52274E98">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竣工阶段（固定资产类投资项目及维修类项目）</w:t>
            </w:r>
          </w:p>
        </w:tc>
        <w:tc>
          <w:tcPr>
            <w:tcW w:w="1418" w:type="dxa"/>
            <w:vAlign w:val="center"/>
          </w:tcPr>
          <w:p w14:paraId="48FEFD6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竣工结算</w:t>
            </w:r>
          </w:p>
        </w:tc>
        <w:tc>
          <w:tcPr>
            <w:tcW w:w="2171" w:type="dxa"/>
            <w:vAlign w:val="center"/>
          </w:tcPr>
          <w:p w14:paraId="794D2120">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□编制□审核□调整</w:t>
            </w:r>
          </w:p>
        </w:tc>
        <w:tc>
          <w:tcPr>
            <w:tcW w:w="1418" w:type="dxa"/>
          </w:tcPr>
          <w:p w14:paraId="1EFCC35C">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p w14:paraId="61DF684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p w14:paraId="52B04D0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竣工结算值</w:t>
            </w:r>
          </w:p>
        </w:tc>
        <w:tc>
          <w:tcPr>
            <w:tcW w:w="1275" w:type="dxa"/>
          </w:tcPr>
          <w:p w14:paraId="28BCC63F">
            <w:pPr>
              <w:widowControl w:val="0"/>
              <w:kinsoku/>
              <w:autoSpaceDE/>
              <w:autoSpaceDN/>
              <w:adjustRightInd/>
              <w:snapToGrid/>
              <w:spacing w:line="360" w:lineRule="auto"/>
              <w:ind w:firstLine="360" w:firstLineChars="200"/>
              <w:jc w:val="both"/>
              <w:textAlignment w:val="auto"/>
              <w:rPr>
                <w:rFonts w:ascii="Calibri" w:hAnsi="Calibri" w:eastAsia="宋体" w:cs="Times New Roman"/>
                <w:snapToGrid/>
                <w:color w:val="auto"/>
                <w:kern w:val="2"/>
                <w:sz w:val="18"/>
                <w:szCs w:val="18"/>
                <w:lang w:eastAsia="zh-CN"/>
              </w:rPr>
            </w:pPr>
          </w:p>
        </w:tc>
        <w:tc>
          <w:tcPr>
            <w:tcW w:w="1985" w:type="dxa"/>
          </w:tcPr>
          <w:p w14:paraId="6D0E2BD6">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bl>
    <w:p w14:paraId="535743DE">
      <w:pPr>
        <w:widowControl w:val="0"/>
        <w:kinsoku/>
        <w:autoSpaceDE/>
        <w:autoSpaceDN/>
        <w:adjustRightInd/>
        <w:snapToGrid/>
        <w:spacing w:line="360" w:lineRule="auto"/>
        <w:contextualSpacing/>
        <w:jc w:val="both"/>
        <w:textAlignment w:val="auto"/>
        <w:rPr>
          <w:rFonts w:ascii="Calibri" w:hAnsi="Calibri" w:eastAsia="宋体" w:cs="Times New Roman"/>
          <w:b/>
          <w:snapToGrid/>
          <w:color w:val="auto"/>
          <w:kern w:val="2"/>
          <w:lang w:eastAsia="zh-CN"/>
        </w:rPr>
        <w:sectPr>
          <w:pgSz w:w="11906" w:h="16838"/>
          <w:pgMar w:top="1440" w:right="1800" w:bottom="1440" w:left="1800" w:header="851" w:footer="992" w:gutter="0"/>
          <w:cols w:space="720" w:num="1"/>
          <w:docGrid w:linePitch="312" w:charSpace="0"/>
        </w:sectPr>
      </w:pPr>
    </w:p>
    <w:p w14:paraId="55D38419">
      <w:pPr>
        <w:widowControl w:val="0"/>
        <w:kinsoku/>
        <w:autoSpaceDE/>
        <w:autoSpaceDN/>
        <w:adjustRightInd/>
        <w:snapToGrid/>
        <w:jc w:val="both"/>
        <w:textAlignment w:val="auto"/>
        <w:rPr>
          <w:rFonts w:ascii="Calibri" w:hAnsi="Calibri" w:eastAsia="宋体" w:cs="Times New Roman"/>
          <w:snapToGrid/>
          <w:color w:val="auto"/>
          <w:kern w:val="2"/>
          <w:szCs w:val="20"/>
          <w:lang w:eastAsia="zh-CN"/>
        </w:rPr>
      </w:pPr>
    </w:p>
    <w:p w14:paraId="4DF47595">
      <w:pPr>
        <w:jc w:val="center"/>
        <w:rPr>
          <w:rFonts w:ascii="方正小标宋简体" w:eastAsia="方正小标宋简体" w:cs="仿宋_GB2312"/>
          <w:b/>
          <w:sz w:val="44"/>
          <w:szCs w:val="44"/>
          <w:lang w:eastAsia="zh-CN"/>
        </w:rPr>
      </w:pPr>
    </w:p>
    <w:p w14:paraId="364FAB86">
      <w:pPr>
        <w:jc w:val="center"/>
        <w:rPr>
          <w:rFonts w:ascii="方正小标宋简体" w:eastAsia="方正小标宋简体" w:cs="仿宋_GB2312"/>
          <w:b/>
          <w:sz w:val="44"/>
          <w:szCs w:val="44"/>
          <w:lang w:eastAsia="zh-CN"/>
        </w:rPr>
      </w:pPr>
    </w:p>
    <w:p w14:paraId="5B8A6CAF">
      <w:pPr>
        <w:spacing w:before="113" w:line="227" w:lineRule="auto"/>
        <w:ind w:left="1942"/>
        <w:outlineLvl w:val="0"/>
        <w:rPr>
          <w:rFonts w:hint="eastAsia" w:ascii="黑体" w:hAnsi="黑体" w:eastAsia="黑体" w:cs="黑体"/>
          <w:sz w:val="35"/>
          <w:szCs w:val="35"/>
          <w:lang w:eastAsia="zh-CN"/>
        </w:rPr>
      </w:pPr>
      <w:r>
        <w:rPr>
          <w:rFonts w:ascii="黑体" w:hAnsi="黑体" w:eastAsia="黑体" w:cs="黑体"/>
          <w:b/>
          <w:bCs/>
          <w:spacing w:val="6"/>
          <w:sz w:val="35"/>
          <w:szCs w:val="35"/>
          <w:lang w:eastAsia="zh-CN"/>
        </w:rPr>
        <w:t>第</w:t>
      </w:r>
      <w:r>
        <w:rPr>
          <w:rFonts w:hint="eastAsia" w:ascii="黑体" w:hAnsi="黑体" w:eastAsia="黑体" w:cs="黑体"/>
          <w:b/>
          <w:bCs/>
          <w:spacing w:val="6"/>
          <w:sz w:val="35"/>
          <w:szCs w:val="35"/>
          <w:lang w:eastAsia="zh-CN"/>
        </w:rPr>
        <w:t>五</w:t>
      </w:r>
      <w:r>
        <w:rPr>
          <w:rFonts w:ascii="黑体" w:hAnsi="黑体" w:eastAsia="黑体" w:cs="黑体"/>
          <w:b/>
          <w:bCs/>
          <w:spacing w:val="6"/>
          <w:sz w:val="35"/>
          <w:szCs w:val="35"/>
          <w:lang w:eastAsia="zh-CN"/>
        </w:rPr>
        <w:t>章</w:t>
      </w:r>
      <w:r>
        <w:rPr>
          <w:rFonts w:ascii="黑体" w:hAnsi="黑体" w:eastAsia="黑体" w:cs="黑体"/>
          <w:spacing w:val="6"/>
          <w:sz w:val="35"/>
          <w:szCs w:val="35"/>
          <w:lang w:eastAsia="zh-CN"/>
        </w:rPr>
        <w:t xml:space="preserve"> </w:t>
      </w:r>
      <w:r>
        <w:rPr>
          <w:rFonts w:ascii="黑体" w:hAnsi="黑体" w:eastAsia="黑体" w:cs="黑体"/>
          <w:b/>
          <w:bCs/>
          <w:spacing w:val="6"/>
          <w:sz w:val="35"/>
          <w:szCs w:val="35"/>
          <w:lang w:eastAsia="zh-CN"/>
        </w:rPr>
        <w:t>响应文件格式及内容</w:t>
      </w:r>
    </w:p>
    <w:p w14:paraId="68786238">
      <w:pPr>
        <w:spacing w:before="226"/>
        <w:rPr>
          <w:lang w:eastAsia="zh-CN"/>
        </w:rPr>
      </w:pPr>
    </w:p>
    <w:tbl>
      <w:tblPr>
        <w:tblStyle w:val="20"/>
        <w:tblW w:w="1895" w:type="dxa"/>
        <w:tblInd w:w="6597"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895"/>
      </w:tblGrid>
      <w:tr w14:paraId="200BFBA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580" w:hRule="atLeast"/>
        </w:trPr>
        <w:tc>
          <w:tcPr>
            <w:tcW w:w="1895" w:type="dxa"/>
          </w:tcPr>
          <w:p w14:paraId="6D5CE6B7">
            <w:pPr>
              <w:spacing w:before="69" w:line="215" w:lineRule="auto"/>
              <w:ind w:left="29"/>
              <w:rPr>
                <w:rFonts w:hint="eastAsia" w:ascii="黑体" w:hAnsi="黑体" w:eastAsia="黑体" w:cs="黑体"/>
                <w:sz w:val="43"/>
                <w:szCs w:val="43"/>
              </w:rPr>
            </w:pPr>
            <w:r>
              <w:rPr>
                <w:rFonts w:ascii="黑体" w:hAnsi="黑体" w:eastAsia="黑体" w:cs="黑体"/>
                <w:spacing w:val="3"/>
                <w:sz w:val="43"/>
                <w:szCs w:val="43"/>
              </w:rPr>
              <w:t>正本</w:t>
            </w:r>
            <w:r>
              <w:rPr>
                <w:rFonts w:ascii="Times New Roman" w:hAnsi="Times New Roman" w:eastAsia="Times New Roman" w:cs="Times New Roman"/>
                <w:spacing w:val="3"/>
                <w:sz w:val="43"/>
                <w:szCs w:val="43"/>
              </w:rPr>
              <w:t>/</w:t>
            </w:r>
            <w:r>
              <w:rPr>
                <w:rFonts w:ascii="黑体" w:hAnsi="黑体" w:eastAsia="黑体" w:cs="黑体"/>
                <w:spacing w:val="3"/>
                <w:sz w:val="43"/>
                <w:szCs w:val="43"/>
              </w:rPr>
              <w:t>副本</w:t>
            </w:r>
          </w:p>
        </w:tc>
      </w:tr>
    </w:tbl>
    <w:p w14:paraId="06C23B92">
      <w:pPr>
        <w:pStyle w:val="11"/>
        <w:spacing w:line="422" w:lineRule="auto"/>
      </w:pPr>
    </w:p>
    <w:p w14:paraId="6473F3DA">
      <w:pPr>
        <w:tabs>
          <w:tab w:val="left" w:pos="5086"/>
        </w:tabs>
        <w:spacing w:before="114" w:line="227" w:lineRule="auto"/>
        <w:ind w:left="1126"/>
        <w:rPr>
          <w:rFonts w:hint="eastAsia" w:ascii="黑体" w:hAnsi="黑体" w:eastAsia="黑体" w:cs="黑体"/>
          <w:sz w:val="35"/>
          <w:szCs w:val="35"/>
        </w:rPr>
      </w:pPr>
      <w:r>
        <w:rPr>
          <w:rFonts w:ascii="黑体" w:hAnsi="黑体" w:eastAsia="黑体" w:cs="黑体"/>
          <w:sz w:val="35"/>
          <w:szCs w:val="35"/>
          <w:u w:val="single"/>
        </w:rPr>
        <w:tab/>
      </w:r>
      <w:r>
        <w:rPr>
          <w:rFonts w:ascii="黑体" w:hAnsi="黑体" w:eastAsia="黑体" w:cs="黑体"/>
          <w:spacing w:val="8"/>
          <w:sz w:val="35"/>
          <w:szCs w:val="35"/>
        </w:rPr>
        <w:t>（项目名称）</w:t>
      </w:r>
    </w:p>
    <w:p w14:paraId="4F5EEBA7">
      <w:pPr>
        <w:pStyle w:val="11"/>
      </w:pPr>
    </w:p>
    <w:p w14:paraId="0783505F">
      <w:pPr>
        <w:pStyle w:val="11"/>
      </w:pPr>
    </w:p>
    <w:p w14:paraId="53AEF2CD">
      <w:pPr>
        <w:pStyle w:val="11"/>
      </w:pPr>
    </w:p>
    <w:p w14:paraId="79A57557">
      <w:pPr>
        <w:pStyle w:val="11"/>
      </w:pPr>
    </w:p>
    <w:p w14:paraId="5B9386C3">
      <w:pPr>
        <w:pStyle w:val="11"/>
      </w:pPr>
    </w:p>
    <w:p w14:paraId="45A5BFEE">
      <w:pPr>
        <w:pStyle w:val="11"/>
        <w:spacing w:line="241" w:lineRule="auto"/>
      </w:pPr>
    </w:p>
    <w:p w14:paraId="02C0E62E">
      <w:pPr>
        <w:pStyle w:val="11"/>
        <w:spacing w:line="241" w:lineRule="auto"/>
      </w:pPr>
    </w:p>
    <w:p w14:paraId="3D4B2896">
      <w:pPr>
        <w:pStyle w:val="11"/>
        <w:spacing w:line="241" w:lineRule="auto"/>
      </w:pPr>
    </w:p>
    <w:p w14:paraId="0760CCFA">
      <w:pPr>
        <w:pStyle w:val="11"/>
        <w:spacing w:line="241" w:lineRule="auto"/>
      </w:pPr>
    </w:p>
    <w:p w14:paraId="27A44C11">
      <w:pPr>
        <w:pStyle w:val="11"/>
        <w:spacing w:line="241" w:lineRule="auto"/>
      </w:pPr>
    </w:p>
    <w:p w14:paraId="6506F952">
      <w:pPr>
        <w:spacing w:before="113" w:line="227" w:lineRule="auto"/>
        <w:ind w:left="3494"/>
        <w:rPr>
          <w:rFonts w:hint="eastAsia" w:ascii="黑体" w:hAnsi="黑体" w:eastAsia="黑体" w:cs="黑体"/>
          <w:sz w:val="35"/>
          <w:szCs w:val="35"/>
        </w:rPr>
      </w:pPr>
      <w:r>
        <w:rPr>
          <w:rFonts w:ascii="黑体" w:hAnsi="黑体" w:eastAsia="黑体" w:cs="黑体"/>
          <w:spacing w:val="2"/>
          <w:sz w:val="35"/>
          <w:szCs w:val="35"/>
        </w:rPr>
        <w:t>响应文件</w:t>
      </w:r>
    </w:p>
    <w:p w14:paraId="5797B420">
      <w:pPr>
        <w:pStyle w:val="11"/>
        <w:spacing w:line="249" w:lineRule="auto"/>
      </w:pPr>
    </w:p>
    <w:p w14:paraId="71E61AB2">
      <w:pPr>
        <w:pStyle w:val="11"/>
        <w:spacing w:line="249" w:lineRule="auto"/>
      </w:pPr>
    </w:p>
    <w:p w14:paraId="239B0E29">
      <w:pPr>
        <w:pStyle w:val="11"/>
        <w:spacing w:line="249" w:lineRule="auto"/>
      </w:pPr>
    </w:p>
    <w:p w14:paraId="0E7AF92A">
      <w:pPr>
        <w:pStyle w:val="11"/>
        <w:spacing w:line="249" w:lineRule="auto"/>
      </w:pPr>
    </w:p>
    <w:p w14:paraId="1EB57190">
      <w:pPr>
        <w:pStyle w:val="11"/>
        <w:spacing w:line="249" w:lineRule="auto"/>
      </w:pPr>
    </w:p>
    <w:p w14:paraId="31D268B8">
      <w:pPr>
        <w:pStyle w:val="11"/>
        <w:spacing w:line="249" w:lineRule="auto"/>
      </w:pPr>
    </w:p>
    <w:p w14:paraId="700838A7">
      <w:pPr>
        <w:pStyle w:val="11"/>
        <w:spacing w:line="249" w:lineRule="auto"/>
      </w:pPr>
    </w:p>
    <w:p w14:paraId="06724865">
      <w:pPr>
        <w:pStyle w:val="11"/>
        <w:spacing w:line="249" w:lineRule="auto"/>
      </w:pPr>
    </w:p>
    <w:p w14:paraId="6950098E">
      <w:pPr>
        <w:pStyle w:val="11"/>
        <w:spacing w:line="250" w:lineRule="auto"/>
      </w:pPr>
    </w:p>
    <w:p w14:paraId="3E8B75A3">
      <w:pPr>
        <w:pStyle w:val="11"/>
        <w:spacing w:line="250" w:lineRule="auto"/>
      </w:pPr>
    </w:p>
    <w:p w14:paraId="072CBB05">
      <w:pPr>
        <w:pStyle w:val="11"/>
        <w:spacing w:line="250" w:lineRule="auto"/>
      </w:pPr>
    </w:p>
    <w:p w14:paraId="5A0F6942">
      <w:pPr>
        <w:pStyle w:val="11"/>
        <w:spacing w:line="250" w:lineRule="auto"/>
      </w:pPr>
    </w:p>
    <w:p w14:paraId="1C45FCE5">
      <w:pPr>
        <w:pStyle w:val="11"/>
        <w:spacing w:line="250" w:lineRule="auto"/>
      </w:pPr>
    </w:p>
    <w:p w14:paraId="44039098">
      <w:pPr>
        <w:spacing w:before="91" w:line="397" w:lineRule="auto"/>
        <w:ind w:firstLine="27"/>
        <w:rPr>
          <w:rFonts w:hint="eastAsia" w:ascii="黑体" w:hAnsi="黑体" w:eastAsia="黑体" w:cs="黑体"/>
          <w:sz w:val="28"/>
          <w:szCs w:val="28"/>
          <w:lang w:eastAsia="zh-CN"/>
        </w:rPr>
      </w:pPr>
      <w:r>
        <w:rPr>
          <w:rFonts w:ascii="黑体" w:hAnsi="黑体" w:eastAsia="黑体" w:cs="黑体"/>
          <w:spacing w:val="-1"/>
          <w:sz w:val="28"/>
          <w:szCs w:val="28"/>
          <w:lang w:eastAsia="zh-CN"/>
        </w:rPr>
        <w:t>承揽方</w:t>
      </w:r>
      <w:r>
        <w:rPr>
          <w:rFonts w:ascii="黑体" w:hAnsi="黑体" w:eastAsia="黑体" w:cs="黑体"/>
          <w:spacing w:val="-15"/>
          <w:sz w:val="28"/>
          <w:szCs w:val="28"/>
          <w:lang w:eastAsia="zh-CN"/>
        </w:rPr>
        <w:t>：</w:t>
      </w:r>
      <w:r>
        <w:rPr>
          <w:rFonts w:ascii="黑体" w:hAnsi="黑体" w:eastAsia="黑体" w:cs="黑体"/>
          <w:sz w:val="28"/>
          <w:szCs w:val="28"/>
          <w:u w:val="single"/>
          <w:lang w:eastAsia="zh-CN"/>
        </w:rPr>
        <w:t xml:space="preserve">                                       </w:t>
      </w:r>
      <w:r>
        <w:rPr>
          <w:rFonts w:ascii="黑体" w:hAnsi="黑体" w:eastAsia="黑体" w:cs="黑体"/>
          <w:spacing w:val="-15"/>
          <w:sz w:val="28"/>
          <w:szCs w:val="28"/>
          <w:lang w:eastAsia="zh-CN"/>
        </w:rPr>
        <w:t>（</w:t>
      </w:r>
      <w:r>
        <w:rPr>
          <w:rFonts w:ascii="黑体" w:hAnsi="黑体" w:eastAsia="黑体" w:cs="黑体"/>
          <w:spacing w:val="-1"/>
          <w:sz w:val="28"/>
          <w:szCs w:val="28"/>
          <w:lang w:eastAsia="zh-CN"/>
        </w:rPr>
        <w:t>盖单位公章）</w:t>
      </w:r>
      <w:r>
        <w:rPr>
          <w:rFonts w:ascii="黑体" w:hAnsi="黑体" w:eastAsia="黑体" w:cs="黑体"/>
          <w:sz w:val="28"/>
          <w:szCs w:val="28"/>
          <w:lang w:eastAsia="zh-CN"/>
        </w:rPr>
        <w:t xml:space="preserve"> 法定代表人或其委托代理人</w:t>
      </w:r>
      <w:r>
        <w:rPr>
          <w:rFonts w:ascii="黑体" w:hAnsi="黑体" w:eastAsia="黑体" w:cs="黑体"/>
          <w:spacing w:val="-7"/>
          <w:sz w:val="28"/>
          <w:szCs w:val="28"/>
          <w:lang w:eastAsia="zh-CN"/>
        </w:rPr>
        <w:t>：</w:t>
      </w:r>
      <w:r>
        <w:rPr>
          <w:rFonts w:ascii="黑体" w:hAnsi="黑体" w:eastAsia="黑体" w:cs="黑体"/>
          <w:sz w:val="28"/>
          <w:szCs w:val="28"/>
          <w:u w:val="single"/>
          <w:lang w:eastAsia="zh-CN"/>
        </w:rPr>
        <w:t xml:space="preserve">                    </w:t>
      </w:r>
      <w:r>
        <w:rPr>
          <w:rFonts w:ascii="黑体" w:hAnsi="黑体" w:eastAsia="黑体" w:cs="黑体"/>
          <w:spacing w:val="-7"/>
          <w:sz w:val="28"/>
          <w:szCs w:val="28"/>
          <w:lang w:eastAsia="zh-CN"/>
        </w:rPr>
        <w:t>（</w:t>
      </w:r>
      <w:r>
        <w:rPr>
          <w:rFonts w:ascii="黑体" w:hAnsi="黑体" w:eastAsia="黑体" w:cs="黑体"/>
          <w:sz w:val="28"/>
          <w:szCs w:val="28"/>
          <w:lang w:eastAsia="zh-CN"/>
        </w:rPr>
        <w:t>签字或盖章）</w:t>
      </w:r>
    </w:p>
    <w:p w14:paraId="57CEE1EC">
      <w:pPr>
        <w:pStyle w:val="11"/>
        <w:spacing w:line="286" w:lineRule="auto"/>
        <w:rPr>
          <w:lang w:eastAsia="zh-CN"/>
        </w:rPr>
      </w:pPr>
    </w:p>
    <w:p w14:paraId="36BDF83F">
      <w:pPr>
        <w:pStyle w:val="11"/>
        <w:spacing w:line="286" w:lineRule="auto"/>
        <w:rPr>
          <w:lang w:eastAsia="zh-CN"/>
        </w:rPr>
      </w:pPr>
    </w:p>
    <w:p w14:paraId="30E956BD">
      <w:pPr>
        <w:tabs>
          <w:tab w:val="left" w:pos="3417"/>
        </w:tabs>
        <w:spacing w:before="92" w:line="224" w:lineRule="auto"/>
        <w:ind w:left="2578"/>
        <w:rPr>
          <w:rFonts w:hint="eastAsia" w:ascii="黑体" w:hAnsi="黑体" w:eastAsia="黑体" w:cs="黑体"/>
          <w:sz w:val="28"/>
          <w:szCs w:val="28"/>
          <w:lang w:eastAsia="zh-CN"/>
        </w:rPr>
      </w:pPr>
      <w:r>
        <w:rPr>
          <w:rFonts w:ascii="黑体" w:hAnsi="黑体" w:eastAsia="黑体" w:cs="黑体"/>
          <w:sz w:val="28"/>
          <w:szCs w:val="28"/>
          <w:u w:val="single"/>
          <w:lang w:eastAsia="zh-CN"/>
        </w:rPr>
        <w:tab/>
      </w:r>
      <w:r>
        <w:rPr>
          <w:rFonts w:ascii="黑体" w:hAnsi="黑体" w:eastAsia="黑体" w:cs="黑体"/>
          <w:spacing w:val="-124"/>
          <w:sz w:val="28"/>
          <w:szCs w:val="28"/>
          <w:lang w:eastAsia="zh-CN"/>
        </w:rPr>
        <w:t xml:space="preserve"> </w:t>
      </w:r>
      <w:r>
        <w:rPr>
          <w:rFonts w:ascii="黑体" w:hAnsi="黑体" w:eastAsia="黑体" w:cs="黑体"/>
          <w:spacing w:val="-6"/>
          <w:sz w:val="28"/>
          <w:szCs w:val="28"/>
          <w:lang w:eastAsia="zh-CN"/>
        </w:rPr>
        <w:t xml:space="preserve">年 </w:t>
      </w:r>
      <w:r>
        <w:rPr>
          <w:rFonts w:ascii="黑体" w:hAnsi="黑体" w:eastAsia="黑体" w:cs="黑体"/>
          <w:sz w:val="28"/>
          <w:szCs w:val="28"/>
          <w:u w:val="single"/>
          <w:lang w:eastAsia="zh-CN"/>
        </w:rPr>
        <w:t xml:space="preserve">   </w:t>
      </w:r>
      <w:r>
        <w:rPr>
          <w:rFonts w:ascii="黑体" w:hAnsi="黑体" w:eastAsia="黑体" w:cs="黑体"/>
          <w:spacing w:val="17"/>
          <w:sz w:val="28"/>
          <w:szCs w:val="28"/>
          <w:lang w:eastAsia="zh-CN"/>
        </w:rPr>
        <w:t xml:space="preserve"> </w:t>
      </w:r>
      <w:r>
        <w:rPr>
          <w:rFonts w:ascii="黑体" w:hAnsi="黑体" w:eastAsia="黑体" w:cs="黑体"/>
          <w:spacing w:val="-6"/>
          <w:sz w:val="28"/>
          <w:szCs w:val="28"/>
          <w:lang w:eastAsia="zh-CN"/>
        </w:rPr>
        <w:t xml:space="preserve">月  </w:t>
      </w:r>
      <w:r>
        <w:rPr>
          <w:rFonts w:ascii="黑体" w:hAnsi="黑体" w:eastAsia="黑体" w:cs="黑体"/>
          <w:sz w:val="28"/>
          <w:szCs w:val="28"/>
          <w:u w:val="single"/>
          <w:lang w:eastAsia="zh-CN"/>
        </w:rPr>
        <w:t xml:space="preserve">    </w:t>
      </w:r>
      <w:r>
        <w:rPr>
          <w:rFonts w:ascii="黑体" w:hAnsi="黑体" w:eastAsia="黑体" w:cs="黑体"/>
          <w:spacing w:val="-83"/>
          <w:sz w:val="28"/>
          <w:szCs w:val="28"/>
          <w:lang w:eastAsia="zh-CN"/>
        </w:rPr>
        <w:t xml:space="preserve"> </w:t>
      </w:r>
      <w:r>
        <w:rPr>
          <w:rFonts w:ascii="黑体" w:hAnsi="黑体" w:eastAsia="黑体" w:cs="黑体"/>
          <w:spacing w:val="-6"/>
          <w:sz w:val="28"/>
          <w:szCs w:val="28"/>
          <w:lang w:eastAsia="zh-CN"/>
        </w:rPr>
        <w:t>日</w:t>
      </w:r>
    </w:p>
    <w:p w14:paraId="02B15FF0">
      <w:pPr>
        <w:spacing w:line="224" w:lineRule="auto"/>
        <w:rPr>
          <w:rFonts w:hint="eastAsia" w:ascii="黑体" w:hAnsi="黑体" w:eastAsia="黑体" w:cs="黑体"/>
          <w:sz w:val="28"/>
          <w:szCs w:val="28"/>
          <w:lang w:eastAsia="zh-CN"/>
        </w:rPr>
        <w:sectPr>
          <w:footerReference r:id="rId11" w:type="default"/>
          <w:pgSz w:w="11906" w:h="16839"/>
          <w:pgMar w:top="1431" w:right="1610" w:bottom="1156" w:left="1765" w:header="0" w:footer="994" w:gutter="0"/>
          <w:cols w:space="720" w:num="1"/>
        </w:sectPr>
      </w:pPr>
    </w:p>
    <w:p w14:paraId="69BA3468">
      <w:pPr>
        <w:spacing w:before="162" w:line="227" w:lineRule="auto"/>
        <w:ind w:left="3577"/>
        <w:outlineLvl w:val="1"/>
        <w:rPr>
          <w:rFonts w:hint="eastAsia" w:ascii="黑体" w:hAnsi="黑体" w:eastAsia="黑体" w:cs="黑体"/>
          <w:sz w:val="31"/>
          <w:szCs w:val="31"/>
          <w:lang w:eastAsia="zh-CN"/>
        </w:rPr>
      </w:pPr>
      <w:r>
        <w:rPr>
          <w:rFonts w:ascii="黑体" w:hAnsi="黑体" w:eastAsia="黑体" w:cs="黑体"/>
          <w:b/>
          <w:bCs/>
          <w:spacing w:val="-25"/>
          <w:sz w:val="31"/>
          <w:szCs w:val="31"/>
          <w:lang w:eastAsia="zh-CN"/>
        </w:rPr>
        <w:t>目</w:t>
      </w:r>
      <w:r>
        <w:rPr>
          <w:rFonts w:ascii="黑体" w:hAnsi="黑体" w:eastAsia="黑体" w:cs="黑体"/>
          <w:spacing w:val="8"/>
          <w:sz w:val="31"/>
          <w:szCs w:val="31"/>
          <w:lang w:eastAsia="zh-CN"/>
        </w:rPr>
        <w:t xml:space="preserve">    </w:t>
      </w:r>
      <w:r>
        <w:rPr>
          <w:rFonts w:ascii="黑体" w:hAnsi="黑体" w:eastAsia="黑体" w:cs="黑体"/>
          <w:b/>
          <w:bCs/>
          <w:spacing w:val="-25"/>
          <w:sz w:val="31"/>
          <w:szCs w:val="31"/>
          <w:lang w:eastAsia="zh-CN"/>
        </w:rPr>
        <w:t>录</w:t>
      </w:r>
    </w:p>
    <w:p w14:paraId="277958CB">
      <w:pPr>
        <w:pStyle w:val="11"/>
        <w:spacing w:line="256" w:lineRule="auto"/>
        <w:rPr>
          <w:lang w:eastAsia="zh-CN"/>
        </w:rPr>
      </w:pPr>
    </w:p>
    <w:p w14:paraId="75503A83">
      <w:pPr>
        <w:pStyle w:val="11"/>
        <w:spacing w:line="256" w:lineRule="auto"/>
        <w:rPr>
          <w:lang w:eastAsia="zh-CN"/>
        </w:rPr>
      </w:pPr>
    </w:p>
    <w:p w14:paraId="21E19A78">
      <w:pPr>
        <w:spacing w:before="78" w:line="218" w:lineRule="auto"/>
        <w:ind w:left="521"/>
        <w:rPr>
          <w:rFonts w:hint="eastAsia" w:ascii="宋体" w:hAnsi="宋体" w:eastAsia="宋体" w:cs="宋体"/>
          <w:sz w:val="24"/>
          <w:szCs w:val="24"/>
          <w:lang w:eastAsia="zh-CN"/>
        </w:rPr>
      </w:pPr>
      <w:r>
        <w:rPr>
          <w:rFonts w:ascii="宋体" w:hAnsi="宋体" w:eastAsia="宋体" w:cs="宋体"/>
          <w:spacing w:val="-6"/>
          <w:sz w:val="24"/>
          <w:szCs w:val="24"/>
          <w:lang w:eastAsia="zh-CN"/>
        </w:rPr>
        <w:t>1、报价函</w:t>
      </w:r>
    </w:p>
    <w:p w14:paraId="66EFB034">
      <w:pPr>
        <w:spacing w:before="105" w:line="219" w:lineRule="auto"/>
        <w:ind w:left="506"/>
        <w:rPr>
          <w:rFonts w:hint="eastAsia" w:ascii="宋体" w:hAnsi="宋体" w:eastAsia="宋体" w:cs="宋体"/>
          <w:sz w:val="24"/>
          <w:szCs w:val="24"/>
          <w:lang w:eastAsia="zh-CN"/>
        </w:rPr>
      </w:pPr>
      <w:r>
        <w:rPr>
          <w:rFonts w:ascii="宋体" w:hAnsi="宋体" w:eastAsia="宋体" w:cs="宋体"/>
          <w:spacing w:val="-2"/>
          <w:sz w:val="24"/>
          <w:szCs w:val="24"/>
          <w:lang w:eastAsia="zh-CN"/>
        </w:rPr>
        <w:t>2、法定代表人身份证明</w:t>
      </w:r>
    </w:p>
    <w:p w14:paraId="1447A717">
      <w:pPr>
        <w:spacing w:before="226" w:line="219" w:lineRule="auto"/>
        <w:ind w:left="508"/>
        <w:rPr>
          <w:rFonts w:hint="eastAsia" w:ascii="宋体" w:hAnsi="宋体" w:eastAsia="宋体" w:cs="宋体"/>
          <w:sz w:val="24"/>
          <w:szCs w:val="24"/>
          <w:lang w:eastAsia="zh-CN"/>
        </w:rPr>
      </w:pPr>
      <w:r>
        <w:rPr>
          <w:rFonts w:ascii="宋体" w:hAnsi="宋体" w:eastAsia="宋体" w:cs="宋体"/>
          <w:spacing w:val="-3"/>
          <w:sz w:val="24"/>
          <w:szCs w:val="24"/>
          <w:lang w:eastAsia="zh-CN"/>
        </w:rPr>
        <w:t>3、授权委托书</w:t>
      </w:r>
    </w:p>
    <w:p w14:paraId="1BE1DBEC">
      <w:pPr>
        <w:spacing w:before="184" w:line="219" w:lineRule="auto"/>
        <w:ind w:left="502"/>
        <w:rPr>
          <w:rFonts w:hint="eastAsia" w:ascii="宋体" w:hAnsi="宋体" w:eastAsia="宋体" w:cs="宋体"/>
          <w:sz w:val="24"/>
          <w:szCs w:val="24"/>
          <w:lang w:eastAsia="zh-CN"/>
        </w:rPr>
      </w:pPr>
      <w:r>
        <w:rPr>
          <w:rFonts w:ascii="宋体" w:hAnsi="宋体" w:eastAsia="宋体" w:cs="宋体"/>
          <w:spacing w:val="-2"/>
          <w:sz w:val="24"/>
          <w:szCs w:val="24"/>
          <w:lang w:eastAsia="zh-CN"/>
        </w:rPr>
        <w:t>4、资格审查资料</w:t>
      </w:r>
    </w:p>
    <w:p w14:paraId="42BEB9E9">
      <w:pPr>
        <w:spacing w:before="183" w:line="218" w:lineRule="auto"/>
        <w:ind w:left="508"/>
        <w:rPr>
          <w:rFonts w:hint="eastAsia" w:ascii="宋体" w:hAnsi="宋体" w:eastAsia="宋体" w:cs="宋体"/>
          <w:sz w:val="24"/>
          <w:szCs w:val="24"/>
          <w:lang w:eastAsia="zh-CN"/>
        </w:rPr>
      </w:pPr>
      <w:r>
        <w:rPr>
          <w:rFonts w:ascii="宋体" w:hAnsi="宋体" w:eastAsia="宋体" w:cs="宋体"/>
          <w:spacing w:val="-3"/>
          <w:sz w:val="24"/>
          <w:szCs w:val="24"/>
          <w:lang w:eastAsia="zh-CN"/>
        </w:rPr>
        <w:t>5、报价表</w:t>
      </w:r>
    </w:p>
    <w:p w14:paraId="150234AF">
      <w:pPr>
        <w:spacing w:before="184" w:line="219" w:lineRule="auto"/>
        <w:ind w:left="509"/>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6</w:t>
      </w:r>
      <w:r>
        <w:rPr>
          <w:rFonts w:ascii="宋体" w:hAnsi="宋体" w:eastAsia="宋体" w:cs="宋体"/>
          <w:spacing w:val="-2"/>
          <w:sz w:val="24"/>
          <w:szCs w:val="24"/>
          <w:lang w:eastAsia="zh-CN"/>
        </w:rPr>
        <w:t>、商务或技术偏差表</w:t>
      </w:r>
    </w:p>
    <w:p w14:paraId="10D20235">
      <w:pPr>
        <w:spacing w:before="184" w:line="219" w:lineRule="auto"/>
        <w:ind w:left="509"/>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7</w:t>
      </w:r>
      <w:r>
        <w:rPr>
          <w:rFonts w:ascii="宋体" w:hAnsi="宋体" w:eastAsia="宋体" w:cs="宋体"/>
          <w:spacing w:val="-1"/>
          <w:sz w:val="24"/>
          <w:szCs w:val="24"/>
          <w:lang w:eastAsia="zh-CN"/>
        </w:rPr>
        <w:t>、承揽方认为应补充的其它资料</w:t>
      </w:r>
    </w:p>
    <w:p w14:paraId="63AB6459">
      <w:pPr>
        <w:spacing w:before="183" w:line="219" w:lineRule="auto"/>
        <w:ind w:left="504"/>
        <w:rPr>
          <w:rFonts w:hint="eastAsia" w:ascii="宋体" w:hAnsi="宋体" w:eastAsia="宋体" w:cs="宋体"/>
          <w:sz w:val="24"/>
          <w:szCs w:val="24"/>
          <w:lang w:eastAsia="zh-CN"/>
        </w:rPr>
        <w:sectPr>
          <w:footerReference r:id="rId12" w:type="default"/>
          <w:pgSz w:w="11906" w:h="16839"/>
          <w:pgMar w:top="1431" w:right="1785" w:bottom="1156" w:left="1785" w:header="0" w:footer="994" w:gutter="0"/>
          <w:cols w:space="720" w:num="1"/>
        </w:sectPr>
      </w:pPr>
      <w:r>
        <w:rPr>
          <w:rFonts w:hint="eastAsia" w:ascii="宋体" w:hAnsi="宋体" w:eastAsia="宋体" w:cs="宋体"/>
          <w:sz w:val="24"/>
          <w:szCs w:val="24"/>
          <w:lang w:eastAsia="zh-CN"/>
        </w:rPr>
        <w:t>8、技术部分要求</w:t>
      </w:r>
    </w:p>
    <w:p w14:paraId="413593E8">
      <w:pPr>
        <w:pStyle w:val="11"/>
        <w:spacing w:line="316" w:lineRule="auto"/>
        <w:rPr>
          <w:lang w:eastAsia="zh-CN"/>
        </w:rPr>
      </w:pPr>
    </w:p>
    <w:p w14:paraId="3F780280">
      <w:pPr>
        <w:spacing w:before="78" w:line="218" w:lineRule="auto"/>
        <w:ind w:left="42"/>
        <w:outlineLvl w:val="2"/>
        <w:rPr>
          <w:rFonts w:hint="eastAsia" w:ascii="宋体" w:hAnsi="宋体" w:eastAsia="宋体" w:cs="宋体"/>
          <w:sz w:val="24"/>
          <w:szCs w:val="24"/>
          <w:lang w:eastAsia="zh-CN"/>
        </w:rPr>
      </w:pPr>
      <w:r>
        <w:rPr>
          <w:rFonts w:ascii="Times New Roman" w:hAnsi="Times New Roman" w:eastAsia="Times New Roman" w:cs="Times New Roman"/>
          <w:spacing w:val="-11"/>
          <w:sz w:val="24"/>
          <w:szCs w:val="24"/>
          <w:lang w:eastAsia="zh-CN"/>
        </w:rPr>
        <w:t>1</w:t>
      </w:r>
      <w:r>
        <w:rPr>
          <w:rFonts w:ascii="Times New Roman" w:hAnsi="Times New Roman" w:eastAsia="Times New Roman" w:cs="Times New Roman"/>
          <w:spacing w:val="-34"/>
          <w:sz w:val="24"/>
          <w:szCs w:val="24"/>
          <w:lang w:eastAsia="zh-CN"/>
        </w:rPr>
        <w:t xml:space="preserve"> </w:t>
      </w:r>
      <w:r>
        <w:rPr>
          <w:rFonts w:ascii="宋体" w:hAnsi="宋体" w:eastAsia="宋体" w:cs="宋体"/>
          <w:spacing w:val="-11"/>
          <w:sz w:val="24"/>
          <w:szCs w:val="24"/>
          <w:lang w:eastAsia="zh-CN"/>
        </w:rPr>
        <w:t>、报价函</w:t>
      </w:r>
    </w:p>
    <w:p w14:paraId="7A04AC75">
      <w:pPr>
        <w:tabs>
          <w:tab w:val="left" w:pos="2893"/>
        </w:tabs>
        <w:spacing w:before="107" w:line="219" w:lineRule="auto"/>
        <w:ind w:left="14"/>
        <w:rPr>
          <w:rFonts w:hint="eastAsia" w:ascii="宋体" w:hAnsi="宋体" w:eastAsia="宋体" w:cs="宋体"/>
          <w:sz w:val="24"/>
          <w:szCs w:val="24"/>
          <w:lang w:eastAsia="zh-CN"/>
        </w:rPr>
      </w:pPr>
      <w:r>
        <w:rPr>
          <w:rFonts w:ascii="宋体" w:hAnsi="宋体" w:eastAsia="宋体" w:cs="宋体"/>
          <w:sz w:val="24"/>
          <w:szCs w:val="24"/>
          <w:u w:val="single"/>
          <w:lang w:eastAsia="zh-CN"/>
        </w:rPr>
        <w:tab/>
      </w:r>
      <w:r>
        <w:rPr>
          <w:rFonts w:ascii="宋体" w:hAnsi="宋体" w:eastAsia="宋体" w:cs="宋体"/>
          <w:sz w:val="24"/>
          <w:szCs w:val="24"/>
          <w:lang w:eastAsia="zh-CN"/>
        </w:rPr>
        <w:t>（采购人名称）：</w:t>
      </w:r>
    </w:p>
    <w:p w14:paraId="2058FB0B">
      <w:pPr>
        <w:spacing w:before="105" w:line="259" w:lineRule="auto"/>
        <w:ind w:left="50" w:firstLine="471"/>
        <w:rPr>
          <w:rFonts w:hint="eastAsia"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Times New Roman" w:hAnsi="Times New Roman" w:eastAsia="Times New Roman" w:cs="Times New Roman"/>
          <w:spacing w:val="-14"/>
          <w:sz w:val="24"/>
          <w:szCs w:val="24"/>
          <w:lang w:eastAsia="zh-CN"/>
        </w:rPr>
        <w:t xml:space="preserve"> </w:t>
      </w:r>
      <w:r>
        <w:rPr>
          <w:rFonts w:ascii="宋体" w:hAnsi="宋体" w:eastAsia="宋体" w:cs="宋体"/>
          <w:spacing w:val="-2"/>
          <w:sz w:val="24"/>
          <w:szCs w:val="24"/>
          <w:lang w:eastAsia="zh-CN"/>
        </w:rPr>
        <w:t>．我方已仔细研究了</w:t>
      </w:r>
      <w:r>
        <w:rPr>
          <w:rFonts w:ascii="宋体" w:hAnsi="宋体" w:eastAsia="宋体" w:cs="宋体"/>
          <w:spacing w:val="-2"/>
          <w:sz w:val="24"/>
          <w:szCs w:val="24"/>
          <w:u w:val="single"/>
          <w:lang w:eastAsia="zh-CN"/>
        </w:rPr>
        <w:t xml:space="preserve">          </w:t>
      </w:r>
      <w:r>
        <w:rPr>
          <w:rFonts w:ascii="宋体" w:hAnsi="宋体" w:eastAsia="宋体" w:cs="宋体"/>
          <w:spacing w:val="-2"/>
          <w:sz w:val="24"/>
          <w:szCs w:val="24"/>
          <w:lang w:eastAsia="zh-CN"/>
        </w:rPr>
        <w:t>（项目名称）谈判文件的全部内容，愿意</w:t>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以</w:t>
      </w:r>
      <w:r>
        <w:rPr>
          <w:rFonts w:ascii="Times New Roman" w:hAnsi="Times New Roman" w:eastAsia="Times New Roman" w:cs="Times New Roman"/>
          <w:spacing w:val="-3"/>
          <w:sz w:val="24"/>
          <w:szCs w:val="24"/>
          <w:lang w:eastAsia="zh-CN"/>
        </w:rPr>
        <w:t>¥</w:t>
      </w:r>
      <w:r>
        <w:rPr>
          <w:rFonts w:ascii="Times New Roman" w:hAnsi="Times New Roman" w:eastAsia="Times New Roman" w:cs="Times New Roman"/>
          <w:spacing w:val="-3"/>
          <w:sz w:val="24"/>
          <w:szCs w:val="24"/>
          <w:u w:val="single"/>
          <w:lang w:eastAsia="zh-CN"/>
        </w:rPr>
        <w:t xml:space="preserve">                  </w:t>
      </w:r>
      <w:r>
        <w:rPr>
          <w:rFonts w:ascii="宋体" w:hAnsi="宋体" w:eastAsia="宋体" w:cs="宋体"/>
          <w:spacing w:val="-3"/>
          <w:sz w:val="24"/>
          <w:szCs w:val="24"/>
          <w:lang w:eastAsia="zh-CN"/>
        </w:rPr>
        <w:t>（人民币大写</w:t>
      </w:r>
      <w:r>
        <w:rPr>
          <w:rFonts w:ascii="宋体" w:hAnsi="宋体" w:eastAsia="宋体" w:cs="宋体"/>
          <w:spacing w:val="-3"/>
          <w:sz w:val="24"/>
          <w:szCs w:val="24"/>
          <w:u w:val="single"/>
          <w:lang w:eastAsia="zh-CN"/>
        </w:rPr>
        <w:t xml:space="preserve">           </w:t>
      </w:r>
      <w:r>
        <w:rPr>
          <w:rFonts w:ascii="宋体" w:hAnsi="宋体" w:eastAsia="宋体" w:cs="宋体"/>
          <w:spacing w:val="-3"/>
          <w:sz w:val="24"/>
          <w:szCs w:val="24"/>
          <w:lang w:eastAsia="zh-CN"/>
        </w:rPr>
        <w:t>）的总报价，按合同约定履</w:t>
      </w:r>
      <w:r>
        <w:rPr>
          <w:rFonts w:ascii="宋体" w:hAnsi="宋体" w:eastAsia="宋体" w:cs="宋体"/>
          <w:spacing w:val="-4"/>
          <w:sz w:val="24"/>
          <w:szCs w:val="24"/>
          <w:lang w:eastAsia="zh-CN"/>
        </w:rPr>
        <w:t>行所有义务。</w:t>
      </w:r>
      <w:r>
        <w:rPr>
          <w:rFonts w:hint="eastAsia" w:ascii="宋体" w:hAnsi="宋体" w:eastAsia="宋体" w:cs="宋体"/>
          <w:spacing w:val="-4"/>
          <w:sz w:val="24"/>
          <w:szCs w:val="24"/>
          <w:lang w:eastAsia="zh-CN"/>
        </w:rPr>
        <w:t>详情见（5.2报价表）。</w:t>
      </w:r>
    </w:p>
    <w:p w14:paraId="10A39643">
      <w:pPr>
        <w:spacing w:before="105" w:line="219" w:lineRule="auto"/>
        <w:ind w:left="499"/>
        <w:rPr>
          <w:rFonts w:hint="eastAsia"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Times New Roman" w:hAnsi="Times New Roman" w:eastAsia="Times New Roman" w:cs="Times New Roman"/>
          <w:spacing w:val="-29"/>
          <w:sz w:val="24"/>
          <w:szCs w:val="24"/>
          <w:lang w:eastAsia="zh-CN"/>
        </w:rPr>
        <w:t xml:space="preserve"> </w:t>
      </w:r>
      <w:r>
        <w:rPr>
          <w:rFonts w:ascii="宋体" w:hAnsi="宋体" w:eastAsia="宋体" w:cs="宋体"/>
          <w:spacing w:val="-1"/>
          <w:sz w:val="24"/>
          <w:szCs w:val="24"/>
          <w:lang w:eastAsia="zh-CN"/>
        </w:rPr>
        <w:t>．我方承诺在谈判文件规定的谈判有效期内不修改、</w:t>
      </w:r>
      <w:r>
        <w:rPr>
          <w:rFonts w:ascii="宋体" w:hAnsi="宋体" w:eastAsia="宋体" w:cs="宋体"/>
          <w:spacing w:val="-2"/>
          <w:sz w:val="24"/>
          <w:szCs w:val="24"/>
          <w:lang w:eastAsia="zh-CN"/>
        </w:rPr>
        <w:t>撤销响应文件。</w:t>
      </w:r>
    </w:p>
    <w:p w14:paraId="6EC843D5">
      <w:pPr>
        <w:spacing w:before="106" w:line="220" w:lineRule="auto"/>
        <w:ind w:left="503"/>
        <w:rPr>
          <w:rFonts w:hint="eastAsia" w:ascii="宋体" w:hAnsi="宋体" w:eastAsia="宋体" w:cs="宋体"/>
          <w:sz w:val="24"/>
          <w:szCs w:val="24"/>
          <w:lang w:eastAsia="zh-CN"/>
        </w:rPr>
      </w:pPr>
      <w:r>
        <w:rPr>
          <w:rFonts w:ascii="Times New Roman" w:hAnsi="Times New Roman" w:eastAsia="Times New Roman" w:cs="Times New Roman"/>
          <w:spacing w:val="-6"/>
          <w:sz w:val="24"/>
          <w:szCs w:val="24"/>
          <w:lang w:eastAsia="zh-CN"/>
        </w:rPr>
        <w:t>3</w:t>
      </w:r>
      <w:r>
        <w:rPr>
          <w:rFonts w:ascii="Times New Roman" w:hAnsi="Times New Roman" w:eastAsia="Times New Roman" w:cs="Times New Roman"/>
          <w:spacing w:val="-23"/>
          <w:sz w:val="24"/>
          <w:szCs w:val="24"/>
          <w:lang w:eastAsia="zh-CN"/>
        </w:rPr>
        <w:t xml:space="preserve"> </w:t>
      </w:r>
      <w:r>
        <w:rPr>
          <w:rFonts w:ascii="宋体" w:hAnsi="宋体" w:eastAsia="宋体" w:cs="宋体"/>
          <w:spacing w:val="-6"/>
          <w:sz w:val="24"/>
          <w:szCs w:val="24"/>
          <w:lang w:eastAsia="zh-CN"/>
        </w:rPr>
        <w:t>．如我方成交：</w:t>
      </w:r>
    </w:p>
    <w:p w14:paraId="13DF24C3">
      <w:pPr>
        <w:spacing w:before="103" w:line="261" w:lineRule="auto"/>
        <w:ind w:left="23" w:right="80" w:firstLine="832"/>
        <w:rPr>
          <w:rFonts w:hint="eastAsia" w:ascii="宋体" w:hAnsi="宋体" w:eastAsia="宋体" w:cs="宋体"/>
          <w:sz w:val="24"/>
          <w:szCs w:val="24"/>
          <w:lang w:eastAsia="zh-CN"/>
        </w:rPr>
      </w:pPr>
      <w:r>
        <w:rPr>
          <w:rFonts w:ascii="宋体" w:hAnsi="宋体" w:eastAsia="宋体" w:cs="宋体"/>
          <w:spacing w:val="-3"/>
          <w:sz w:val="24"/>
          <w:szCs w:val="24"/>
          <w:lang w:eastAsia="zh-CN"/>
        </w:rPr>
        <w:t>（</w:t>
      </w:r>
      <w:r>
        <w:rPr>
          <w:rFonts w:ascii="Times New Roman" w:hAnsi="Times New Roman" w:eastAsia="Times New Roman" w:cs="Times New Roman"/>
          <w:spacing w:val="-3"/>
          <w:sz w:val="24"/>
          <w:szCs w:val="24"/>
          <w:lang w:eastAsia="zh-CN"/>
        </w:rPr>
        <w:t>1</w:t>
      </w:r>
      <w:r>
        <w:rPr>
          <w:rFonts w:ascii="宋体" w:hAnsi="宋体" w:eastAsia="宋体" w:cs="宋体"/>
          <w:spacing w:val="-3"/>
          <w:sz w:val="24"/>
          <w:szCs w:val="24"/>
          <w:lang w:eastAsia="zh-CN"/>
        </w:rPr>
        <w:t>）我方承诺在收到成交通知书后，在成交通知书规定的期限内与你方</w:t>
      </w:r>
      <w:r>
        <w:rPr>
          <w:rFonts w:ascii="宋体" w:hAnsi="宋体" w:eastAsia="宋体" w:cs="宋体"/>
          <w:sz w:val="24"/>
          <w:szCs w:val="24"/>
          <w:lang w:eastAsia="zh-CN"/>
        </w:rPr>
        <w:t xml:space="preserve"> </w:t>
      </w:r>
      <w:r>
        <w:rPr>
          <w:rFonts w:ascii="宋体" w:hAnsi="宋体" w:eastAsia="宋体" w:cs="宋体"/>
          <w:spacing w:val="-2"/>
          <w:sz w:val="24"/>
          <w:szCs w:val="24"/>
          <w:lang w:eastAsia="zh-CN"/>
        </w:rPr>
        <w:t>签订合同。</w:t>
      </w:r>
    </w:p>
    <w:p w14:paraId="72921358">
      <w:pPr>
        <w:spacing w:before="101" w:line="218" w:lineRule="auto"/>
        <w:ind w:left="855"/>
        <w:rPr>
          <w:rFonts w:hint="eastAsia"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）随同本报价函递交的报价函附录属于合同文件的组成部分。</w:t>
      </w:r>
    </w:p>
    <w:p w14:paraId="4FFEA9B3">
      <w:pPr>
        <w:spacing w:before="108" w:line="219" w:lineRule="auto"/>
        <w:ind w:left="855"/>
        <w:rPr>
          <w:rFonts w:hint="eastAsia"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w:t>
      </w:r>
      <w:r>
        <w:rPr>
          <w:rFonts w:ascii="宋体" w:hAnsi="宋体" w:eastAsia="宋体" w:cs="宋体"/>
          <w:spacing w:val="-2"/>
          <w:sz w:val="24"/>
          <w:szCs w:val="24"/>
          <w:lang w:eastAsia="zh-CN"/>
        </w:rPr>
        <w:t>我方承诺在合同约定的期限交付</w:t>
      </w:r>
      <w:r>
        <w:rPr>
          <w:rFonts w:hint="eastAsia" w:ascii="宋体" w:hAnsi="宋体" w:eastAsia="宋体" w:cs="宋体"/>
          <w:spacing w:val="-2"/>
          <w:sz w:val="24"/>
          <w:szCs w:val="24"/>
          <w:lang w:eastAsia="zh-CN"/>
        </w:rPr>
        <w:t>成果</w:t>
      </w:r>
    </w:p>
    <w:p w14:paraId="77C118AF">
      <w:pPr>
        <w:spacing w:before="107" w:line="219" w:lineRule="auto"/>
        <w:ind w:left="497"/>
        <w:rPr>
          <w:rFonts w:hint="eastAsia" w:ascii="宋体" w:hAnsi="宋体" w:eastAsia="宋体" w:cs="宋体"/>
          <w:sz w:val="24"/>
          <w:szCs w:val="24"/>
          <w:lang w:eastAsia="zh-CN"/>
        </w:rPr>
      </w:pPr>
      <w:r>
        <w:rPr>
          <w:rFonts w:ascii="Times New Roman" w:hAnsi="Times New Roman" w:eastAsia="Times New Roman" w:cs="Times New Roman"/>
          <w:spacing w:val="-1"/>
          <w:sz w:val="24"/>
          <w:szCs w:val="24"/>
          <w:lang w:eastAsia="zh-CN"/>
        </w:rPr>
        <w:t>4</w:t>
      </w:r>
      <w:r>
        <w:rPr>
          <w:rFonts w:ascii="Times New Roman" w:hAnsi="Times New Roman" w:eastAsia="Times New Roman" w:cs="Times New Roman"/>
          <w:spacing w:val="-28"/>
          <w:sz w:val="24"/>
          <w:szCs w:val="24"/>
          <w:lang w:eastAsia="zh-CN"/>
        </w:rPr>
        <w:t xml:space="preserve"> </w:t>
      </w:r>
      <w:r>
        <w:rPr>
          <w:rFonts w:ascii="宋体" w:hAnsi="宋体" w:eastAsia="宋体" w:cs="宋体"/>
          <w:spacing w:val="-1"/>
          <w:sz w:val="24"/>
          <w:szCs w:val="24"/>
          <w:lang w:eastAsia="zh-CN"/>
        </w:rPr>
        <w:t>．我方在此声明，所递交的响应文件及有关资料内容完整、真实</w:t>
      </w:r>
      <w:r>
        <w:rPr>
          <w:rFonts w:ascii="宋体" w:hAnsi="宋体" w:eastAsia="宋体" w:cs="宋体"/>
          <w:spacing w:val="-2"/>
          <w:sz w:val="24"/>
          <w:szCs w:val="24"/>
          <w:lang w:eastAsia="zh-CN"/>
        </w:rPr>
        <w:t>和准确。</w:t>
      </w:r>
    </w:p>
    <w:p w14:paraId="45DCD78D">
      <w:pPr>
        <w:spacing w:before="104" w:line="273" w:lineRule="auto"/>
        <w:ind w:left="25" w:right="80" w:firstLine="480"/>
        <w:rPr>
          <w:rFonts w:hint="eastAsia" w:ascii="宋体" w:hAnsi="宋体" w:eastAsia="宋体" w:cs="宋体"/>
          <w:sz w:val="24"/>
          <w:szCs w:val="24"/>
          <w:lang w:eastAsia="zh-CN"/>
        </w:rPr>
      </w:pPr>
      <w:r>
        <w:rPr>
          <w:rFonts w:ascii="Times New Roman" w:hAnsi="Times New Roman" w:eastAsia="Times New Roman" w:cs="Times New Roman"/>
          <w:spacing w:val="-1"/>
          <w:sz w:val="24"/>
          <w:szCs w:val="24"/>
          <w:lang w:eastAsia="zh-CN"/>
        </w:rPr>
        <w:t>5.</w:t>
      </w:r>
      <w:r>
        <w:rPr>
          <w:rFonts w:ascii="Times New Roman" w:hAnsi="Times New Roman" w:eastAsia="Times New Roman" w:cs="Times New Roman"/>
          <w:spacing w:val="19"/>
          <w:w w:val="101"/>
          <w:sz w:val="24"/>
          <w:szCs w:val="24"/>
          <w:lang w:eastAsia="zh-CN"/>
        </w:rPr>
        <w:t xml:space="preserve">  </w:t>
      </w:r>
      <w:r>
        <w:rPr>
          <w:rFonts w:ascii="宋体" w:hAnsi="宋体" w:eastAsia="宋体" w:cs="宋体"/>
          <w:spacing w:val="-1"/>
          <w:sz w:val="24"/>
          <w:szCs w:val="24"/>
          <w:lang w:eastAsia="zh-CN"/>
        </w:rPr>
        <w:t>我方承诺参加谈判活动近三年内无违法犯罪及其它不良行为记录，如有</w:t>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经行政主管部门查实或通报的不良记录，我方放弃参加本次项目谈判的权利，并</w:t>
      </w:r>
      <w:r>
        <w:rPr>
          <w:rFonts w:ascii="宋体" w:hAnsi="宋体" w:eastAsia="宋体" w:cs="宋体"/>
          <w:sz w:val="24"/>
          <w:szCs w:val="24"/>
          <w:lang w:eastAsia="zh-CN"/>
        </w:rPr>
        <w:t xml:space="preserve"> </w:t>
      </w:r>
      <w:r>
        <w:rPr>
          <w:rFonts w:ascii="宋体" w:hAnsi="宋体" w:eastAsia="宋体" w:cs="宋体"/>
          <w:spacing w:val="-1"/>
          <w:sz w:val="24"/>
          <w:szCs w:val="24"/>
          <w:lang w:eastAsia="zh-CN"/>
        </w:rPr>
        <w:t>无条件承担相应后果和损失。</w:t>
      </w:r>
    </w:p>
    <w:p w14:paraId="44461E4E">
      <w:pPr>
        <w:spacing w:before="106" w:line="259" w:lineRule="auto"/>
        <w:ind w:left="23" w:right="746" w:firstLine="480"/>
        <w:rPr>
          <w:rFonts w:hint="eastAsia" w:ascii="宋体" w:hAnsi="宋体" w:eastAsia="宋体" w:cs="宋体"/>
          <w:sz w:val="24"/>
          <w:szCs w:val="24"/>
          <w:lang w:eastAsia="zh-CN"/>
        </w:rPr>
      </w:pPr>
      <w:r>
        <w:rPr>
          <w:rFonts w:ascii="Times New Roman" w:hAnsi="Times New Roman" w:eastAsia="Times New Roman" w:cs="Times New Roman"/>
          <w:spacing w:val="-2"/>
          <w:sz w:val="24"/>
          <w:szCs w:val="24"/>
          <w:lang w:eastAsia="zh-CN"/>
        </w:rPr>
        <w:t>6</w:t>
      </w:r>
      <w:r>
        <w:rPr>
          <w:rFonts w:ascii="Times New Roman" w:hAnsi="Times New Roman" w:eastAsia="Times New Roman" w:cs="Times New Roman"/>
          <w:spacing w:val="-28"/>
          <w:sz w:val="24"/>
          <w:szCs w:val="24"/>
          <w:lang w:eastAsia="zh-CN"/>
        </w:rPr>
        <w:t xml:space="preserve"> </w:t>
      </w:r>
      <w:r>
        <w:rPr>
          <w:rFonts w:ascii="宋体" w:hAnsi="宋体" w:eastAsia="宋体" w:cs="宋体"/>
          <w:spacing w:val="-33"/>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33"/>
          <w:sz w:val="24"/>
          <w:szCs w:val="24"/>
          <w:lang w:eastAsia="zh-CN"/>
        </w:rPr>
        <w:t>（</w:t>
      </w:r>
      <w:r>
        <w:rPr>
          <w:rFonts w:ascii="宋体" w:hAnsi="宋体" w:eastAsia="宋体" w:cs="宋体"/>
          <w:spacing w:val="-2"/>
          <w:sz w:val="24"/>
          <w:szCs w:val="24"/>
          <w:lang w:eastAsia="zh-CN"/>
        </w:rPr>
        <w:t>其他补充说明）。</w:t>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承揽方</w:t>
      </w:r>
      <w:r>
        <w:rPr>
          <w:rFonts w:ascii="宋体" w:hAnsi="宋体" w:eastAsia="宋体" w:cs="宋体"/>
          <w:spacing w:val="-18"/>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18"/>
          <w:sz w:val="24"/>
          <w:szCs w:val="24"/>
          <w:lang w:eastAsia="zh-CN"/>
        </w:rPr>
        <w:t>（</w:t>
      </w:r>
      <w:r>
        <w:rPr>
          <w:rFonts w:ascii="宋体" w:hAnsi="宋体" w:eastAsia="宋体" w:cs="宋体"/>
          <w:spacing w:val="3"/>
          <w:sz w:val="24"/>
          <w:szCs w:val="24"/>
          <w:lang w:eastAsia="zh-CN"/>
        </w:rPr>
        <w:t>盖单位章）</w:t>
      </w:r>
    </w:p>
    <w:p w14:paraId="51056742">
      <w:pPr>
        <w:spacing w:before="106" w:line="286" w:lineRule="auto"/>
        <w:ind w:left="22" w:right="2887" w:firstLine="1"/>
        <w:rPr>
          <w:rFonts w:hint="eastAsia" w:ascii="宋体" w:hAnsi="宋体" w:eastAsia="宋体" w:cs="宋体"/>
          <w:sz w:val="24"/>
          <w:szCs w:val="24"/>
          <w:lang w:eastAsia="zh-CN"/>
        </w:rPr>
      </w:pPr>
      <w:r>
        <w:rPr>
          <w:rFonts w:ascii="宋体" w:hAnsi="宋体" w:eastAsia="宋体" w:cs="宋体"/>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17"/>
          <w:sz w:val="24"/>
          <w:szCs w:val="24"/>
          <w:lang w:eastAsia="zh-CN"/>
        </w:rPr>
        <w:t>（</w:t>
      </w:r>
      <w:r>
        <w:rPr>
          <w:rFonts w:ascii="宋体" w:hAnsi="宋体" w:eastAsia="宋体" w:cs="宋体"/>
          <w:sz w:val="24"/>
          <w:szCs w:val="24"/>
          <w:lang w:eastAsia="zh-CN"/>
        </w:rPr>
        <w:t>签字并盖章）</w:t>
      </w:r>
      <w:r>
        <w:rPr>
          <w:rFonts w:ascii="宋体" w:hAnsi="宋体" w:eastAsia="宋体" w:cs="宋体"/>
          <w:spacing w:val="1"/>
          <w:sz w:val="24"/>
          <w:szCs w:val="24"/>
          <w:lang w:eastAsia="zh-CN"/>
        </w:rPr>
        <w:t xml:space="preserve"> </w:t>
      </w:r>
      <w:r>
        <w:rPr>
          <w:rFonts w:ascii="宋体" w:hAnsi="宋体" w:eastAsia="宋体" w:cs="宋体"/>
          <w:spacing w:val="3"/>
          <w:sz w:val="24"/>
          <w:szCs w:val="24"/>
          <w:lang w:eastAsia="zh-CN"/>
        </w:rPr>
        <w:t>委托代理人</w:t>
      </w:r>
      <w:r>
        <w:rPr>
          <w:rFonts w:ascii="宋体" w:hAnsi="宋体" w:eastAsia="宋体" w:cs="宋体"/>
          <w:spacing w:val="-17"/>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17"/>
          <w:sz w:val="24"/>
          <w:szCs w:val="24"/>
          <w:lang w:eastAsia="zh-CN"/>
        </w:rPr>
        <w:t>（</w:t>
      </w:r>
      <w:r>
        <w:rPr>
          <w:rFonts w:ascii="宋体" w:hAnsi="宋体" w:eastAsia="宋体" w:cs="宋体"/>
          <w:spacing w:val="3"/>
          <w:sz w:val="24"/>
          <w:szCs w:val="24"/>
          <w:lang w:eastAsia="zh-CN"/>
        </w:rPr>
        <w:t>签字）</w:t>
      </w:r>
    </w:p>
    <w:p w14:paraId="57572F68">
      <w:pPr>
        <w:tabs>
          <w:tab w:val="left" w:pos="5174"/>
        </w:tabs>
        <w:spacing w:before="35" w:line="295" w:lineRule="auto"/>
        <w:ind w:left="21" w:right="3226" w:firstLine="1"/>
        <w:jc w:val="both"/>
        <w:rPr>
          <w:rFonts w:hint="eastAsia" w:ascii="宋体" w:hAnsi="宋体" w:eastAsia="宋体" w:cs="宋体"/>
          <w:sz w:val="24"/>
          <w:szCs w:val="24"/>
          <w:lang w:eastAsia="zh-CN"/>
        </w:rPr>
      </w:pPr>
      <w:r>
        <w:rPr>
          <w:rFonts w:ascii="宋体" w:hAnsi="宋体" w:eastAsia="宋体" w:cs="宋体"/>
          <w:spacing w:val="-4"/>
          <w:sz w:val="24"/>
          <w:szCs w:val="24"/>
          <w:lang w:eastAsia="zh-CN"/>
        </w:rPr>
        <w:t>地址：</w:t>
      </w:r>
      <w:r>
        <w:rPr>
          <w:rFonts w:ascii="宋体" w:hAnsi="宋体" w:eastAsia="宋体" w:cs="宋体"/>
          <w:sz w:val="24"/>
          <w:szCs w:val="24"/>
          <w:u w:val="single"/>
          <w:lang w:eastAsia="zh-CN"/>
        </w:rPr>
        <w:tab/>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网址：</w:t>
      </w:r>
      <w:r>
        <w:rPr>
          <w:rFonts w:ascii="宋体" w:hAnsi="宋体" w:eastAsia="宋体" w:cs="宋体"/>
          <w:sz w:val="24"/>
          <w:szCs w:val="24"/>
          <w:u w:val="single"/>
          <w:lang w:eastAsia="zh-CN"/>
        </w:rPr>
        <w:tab/>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电话：</w:t>
      </w:r>
      <w:r>
        <w:rPr>
          <w:rFonts w:ascii="宋体" w:hAnsi="宋体" w:eastAsia="宋体" w:cs="宋体"/>
          <w:sz w:val="24"/>
          <w:szCs w:val="24"/>
          <w:u w:val="single"/>
          <w:lang w:eastAsia="zh-CN"/>
        </w:rPr>
        <w:tab/>
      </w:r>
      <w:r>
        <w:rPr>
          <w:rFonts w:ascii="宋体" w:hAnsi="宋体" w:eastAsia="宋体" w:cs="宋体"/>
          <w:sz w:val="24"/>
          <w:szCs w:val="24"/>
          <w:lang w:eastAsia="zh-CN"/>
        </w:rPr>
        <w:t xml:space="preserve"> </w:t>
      </w:r>
      <w:r>
        <w:rPr>
          <w:rFonts w:ascii="宋体" w:hAnsi="宋体" w:eastAsia="宋体" w:cs="宋体"/>
          <w:spacing w:val="-3"/>
          <w:sz w:val="24"/>
          <w:szCs w:val="24"/>
          <w:lang w:eastAsia="zh-CN"/>
        </w:rPr>
        <w:t>传真：</w:t>
      </w:r>
      <w:r>
        <w:rPr>
          <w:rFonts w:ascii="宋体" w:hAnsi="宋体" w:eastAsia="宋体" w:cs="宋体"/>
          <w:sz w:val="24"/>
          <w:szCs w:val="24"/>
          <w:u w:val="single"/>
          <w:lang w:eastAsia="zh-CN"/>
        </w:rPr>
        <w:tab/>
      </w:r>
      <w:r>
        <w:rPr>
          <w:rFonts w:ascii="宋体" w:hAnsi="宋体" w:eastAsia="宋体" w:cs="宋体"/>
          <w:sz w:val="24"/>
          <w:szCs w:val="24"/>
          <w:lang w:eastAsia="zh-CN"/>
        </w:rPr>
        <w:t xml:space="preserve"> </w:t>
      </w:r>
      <w:r>
        <w:rPr>
          <w:rFonts w:ascii="宋体" w:hAnsi="宋体" w:eastAsia="宋体" w:cs="宋体"/>
          <w:spacing w:val="-2"/>
          <w:sz w:val="24"/>
          <w:szCs w:val="24"/>
          <w:lang w:eastAsia="zh-CN"/>
        </w:rPr>
        <w:t>邮政编码：</w:t>
      </w:r>
      <w:r>
        <w:rPr>
          <w:rFonts w:ascii="宋体" w:hAnsi="宋体" w:eastAsia="宋体" w:cs="宋体"/>
          <w:sz w:val="24"/>
          <w:szCs w:val="24"/>
          <w:u w:val="single"/>
          <w:lang w:eastAsia="zh-CN"/>
        </w:rPr>
        <w:t xml:space="preserve">                                 </w:t>
      </w:r>
    </w:p>
    <w:p w14:paraId="46C2A038">
      <w:pPr>
        <w:pStyle w:val="11"/>
        <w:spacing w:line="344" w:lineRule="auto"/>
        <w:rPr>
          <w:lang w:eastAsia="zh-CN"/>
        </w:rPr>
      </w:pPr>
    </w:p>
    <w:p w14:paraId="33894C5A">
      <w:pPr>
        <w:tabs>
          <w:tab w:val="left" w:pos="6760"/>
        </w:tabs>
        <w:spacing w:before="79" w:line="219" w:lineRule="auto"/>
        <w:ind w:left="6280"/>
        <w:outlineLvl w:val="1"/>
        <w:rPr>
          <w:rFonts w:hint="eastAsia" w:ascii="宋体" w:hAnsi="宋体" w:eastAsia="宋体" w:cs="宋体"/>
          <w:sz w:val="24"/>
          <w:szCs w:val="24"/>
          <w:lang w:eastAsia="zh-CN"/>
        </w:rPr>
      </w:pPr>
      <w:r>
        <w:rPr>
          <w:rFonts w:ascii="宋体" w:hAnsi="宋体" w:eastAsia="宋体" w:cs="宋体"/>
          <w:sz w:val="24"/>
          <w:szCs w:val="24"/>
          <w:u w:val="single"/>
          <w:lang w:eastAsia="zh-CN"/>
        </w:rPr>
        <w:tab/>
      </w:r>
      <w:r>
        <w:rPr>
          <w:rFonts w:ascii="宋体" w:hAnsi="宋体" w:eastAsia="宋体" w:cs="宋体"/>
          <w:spacing w:val="-109"/>
          <w:sz w:val="24"/>
          <w:szCs w:val="24"/>
          <w:lang w:eastAsia="zh-CN"/>
        </w:rPr>
        <w:t xml:space="preserve"> </w:t>
      </w:r>
      <w:r>
        <w:rPr>
          <w:rFonts w:ascii="宋体" w:hAnsi="宋体" w:eastAsia="宋体" w:cs="宋体"/>
          <w:spacing w:val="-9"/>
          <w:sz w:val="24"/>
          <w:szCs w:val="24"/>
          <w:lang w:eastAsia="zh-CN"/>
        </w:rPr>
        <w:t>年</w:t>
      </w:r>
      <w:r>
        <w:rPr>
          <w:rFonts w:ascii="宋体" w:hAnsi="宋体" w:eastAsia="宋体" w:cs="宋体"/>
          <w:spacing w:val="39"/>
          <w:sz w:val="24"/>
          <w:szCs w:val="24"/>
          <w:u w:val="single"/>
          <w:lang w:eastAsia="zh-CN"/>
        </w:rPr>
        <w:t xml:space="preserve">   </w:t>
      </w:r>
      <w:r>
        <w:rPr>
          <w:rFonts w:ascii="宋体" w:hAnsi="宋体" w:eastAsia="宋体" w:cs="宋体"/>
          <w:spacing w:val="-102"/>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pacing w:val="60"/>
          <w:sz w:val="24"/>
          <w:szCs w:val="24"/>
          <w:u w:val="single"/>
          <w:lang w:eastAsia="zh-CN"/>
        </w:rPr>
        <w:t xml:space="preserve">  </w:t>
      </w:r>
      <w:r>
        <w:rPr>
          <w:rFonts w:ascii="宋体" w:hAnsi="宋体" w:eastAsia="宋体" w:cs="宋体"/>
          <w:spacing w:val="-69"/>
          <w:sz w:val="24"/>
          <w:szCs w:val="24"/>
          <w:lang w:eastAsia="zh-CN"/>
        </w:rPr>
        <w:t xml:space="preserve"> </w:t>
      </w:r>
      <w:r>
        <w:rPr>
          <w:rFonts w:ascii="宋体" w:hAnsi="宋体" w:eastAsia="宋体" w:cs="宋体"/>
          <w:spacing w:val="-9"/>
          <w:sz w:val="24"/>
          <w:szCs w:val="24"/>
          <w:lang w:eastAsia="zh-CN"/>
        </w:rPr>
        <w:t>日</w:t>
      </w:r>
    </w:p>
    <w:p w14:paraId="3542E187">
      <w:pPr>
        <w:spacing w:line="219" w:lineRule="auto"/>
        <w:rPr>
          <w:rFonts w:hint="eastAsia" w:ascii="宋体" w:hAnsi="宋体" w:eastAsia="宋体" w:cs="宋体"/>
          <w:sz w:val="24"/>
          <w:szCs w:val="24"/>
          <w:lang w:eastAsia="zh-CN"/>
        </w:rPr>
        <w:sectPr>
          <w:footerReference r:id="rId13" w:type="default"/>
          <w:pgSz w:w="11906" w:h="16839"/>
          <w:pgMar w:top="1431" w:right="1719" w:bottom="1156" w:left="1785" w:header="0" w:footer="994" w:gutter="0"/>
          <w:cols w:space="720" w:num="1"/>
        </w:sectPr>
      </w:pPr>
    </w:p>
    <w:p w14:paraId="61D2C0CC">
      <w:pPr>
        <w:pStyle w:val="11"/>
        <w:spacing w:line="450" w:lineRule="auto"/>
        <w:rPr>
          <w:lang w:eastAsia="zh-CN"/>
        </w:rPr>
      </w:pPr>
    </w:p>
    <w:p w14:paraId="6D3B3A42">
      <w:pPr>
        <w:spacing w:before="78" w:line="219" w:lineRule="auto"/>
        <w:ind w:left="26"/>
        <w:rPr>
          <w:rFonts w:hint="eastAsia" w:ascii="宋体" w:hAnsi="宋体" w:eastAsia="宋体" w:cs="宋体"/>
          <w:sz w:val="24"/>
          <w:szCs w:val="24"/>
          <w:lang w:eastAsia="zh-CN"/>
        </w:rPr>
      </w:pPr>
      <w:r>
        <w:rPr>
          <w:rFonts w:ascii="宋体" w:hAnsi="宋体" w:eastAsia="宋体" w:cs="宋体"/>
          <w:spacing w:val="-2"/>
          <w:sz w:val="24"/>
          <w:szCs w:val="24"/>
          <w:lang w:eastAsia="zh-CN"/>
        </w:rPr>
        <w:t>2、法定代表人身份证明</w:t>
      </w:r>
    </w:p>
    <w:p w14:paraId="1436E240">
      <w:pPr>
        <w:spacing w:before="299" w:line="218" w:lineRule="auto"/>
        <w:ind w:left="873"/>
        <w:outlineLvl w:val="1"/>
        <w:rPr>
          <w:rFonts w:ascii="Times New Roman" w:hAnsi="Times New Roman" w:eastAsia="Times New Roman" w:cs="Times New Roman"/>
          <w:sz w:val="31"/>
          <w:szCs w:val="31"/>
          <w:lang w:eastAsia="zh-CN"/>
        </w:rPr>
      </w:pPr>
      <w:r>
        <w:rPr>
          <w:rFonts w:ascii="黑体" w:hAnsi="黑体" w:eastAsia="黑体" w:cs="黑体"/>
          <w:spacing w:val="8"/>
          <w:sz w:val="31"/>
          <w:szCs w:val="31"/>
          <w:lang w:eastAsia="zh-CN"/>
        </w:rPr>
        <w:t>法定代表人身份证明</w:t>
      </w:r>
      <w:r>
        <w:rPr>
          <w:rFonts w:ascii="Times New Roman" w:hAnsi="Times New Roman" w:eastAsia="Times New Roman" w:cs="Times New Roman"/>
          <w:spacing w:val="8"/>
          <w:sz w:val="31"/>
          <w:szCs w:val="31"/>
          <w:lang w:eastAsia="zh-CN"/>
        </w:rPr>
        <w:t>(</w:t>
      </w:r>
      <w:r>
        <w:rPr>
          <w:rFonts w:ascii="黑体" w:hAnsi="黑体" w:eastAsia="黑体" w:cs="黑体"/>
          <w:spacing w:val="8"/>
          <w:sz w:val="31"/>
          <w:szCs w:val="31"/>
          <w:lang w:eastAsia="zh-CN"/>
        </w:rPr>
        <w:t>适用于法定代表人</w:t>
      </w:r>
      <w:r>
        <w:rPr>
          <w:rFonts w:hint="eastAsia" w:ascii="黑体" w:hAnsi="黑体" w:eastAsia="黑体" w:cs="黑体"/>
          <w:spacing w:val="8"/>
          <w:sz w:val="31"/>
          <w:szCs w:val="31"/>
          <w:lang w:eastAsia="zh-CN"/>
        </w:rPr>
        <w:t>谈判</w:t>
      </w:r>
      <w:r>
        <w:rPr>
          <w:rFonts w:ascii="黑体" w:hAnsi="黑体" w:eastAsia="黑体" w:cs="黑体"/>
          <w:spacing w:val="8"/>
          <w:sz w:val="31"/>
          <w:szCs w:val="31"/>
          <w:lang w:eastAsia="zh-CN"/>
        </w:rPr>
        <w:t>时</w:t>
      </w:r>
      <w:r>
        <w:rPr>
          <w:rFonts w:ascii="Times New Roman" w:hAnsi="Times New Roman" w:eastAsia="Times New Roman" w:cs="Times New Roman"/>
          <w:spacing w:val="8"/>
          <w:sz w:val="31"/>
          <w:szCs w:val="31"/>
          <w:lang w:eastAsia="zh-CN"/>
        </w:rPr>
        <w:t>)</w:t>
      </w:r>
    </w:p>
    <w:p w14:paraId="189276DC">
      <w:pPr>
        <w:pStyle w:val="11"/>
        <w:spacing w:line="272" w:lineRule="auto"/>
        <w:rPr>
          <w:lang w:eastAsia="zh-CN"/>
        </w:rPr>
      </w:pPr>
    </w:p>
    <w:p w14:paraId="45E6A5F2">
      <w:pPr>
        <w:pStyle w:val="11"/>
        <w:spacing w:line="272" w:lineRule="auto"/>
        <w:rPr>
          <w:lang w:eastAsia="zh-CN"/>
        </w:rPr>
      </w:pPr>
    </w:p>
    <w:p w14:paraId="3C790E74">
      <w:pPr>
        <w:spacing w:before="78" w:line="220" w:lineRule="auto"/>
        <w:ind w:left="26"/>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供应商</w:t>
      </w:r>
      <w:r>
        <w:rPr>
          <w:rFonts w:ascii="宋体" w:hAnsi="宋体" w:eastAsia="宋体" w:cs="宋体"/>
          <w:spacing w:val="-3"/>
          <w:sz w:val="24"/>
          <w:szCs w:val="24"/>
          <w:lang w:eastAsia="zh-CN"/>
        </w:rPr>
        <w:t>名称：</w:t>
      </w:r>
      <w:r>
        <w:rPr>
          <w:rFonts w:ascii="宋体" w:hAnsi="宋体" w:eastAsia="宋体" w:cs="宋体"/>
          <w:sz w:val="24"/>
          <w:szCs w:val="24"/>
          <w:u w:val="single"/>
          <w:lang w:eastAsia="zh-CN"/>
        </w:rPr>
        <w:t xml:space="preserve">                   </w:t>
      </w:r>
    </w:p>
    <w:p w14:paraId="0B2C544E">
      <w:pPr>
        <w:spacing w:before="199" w:line="227" w:lineRule="auto"/>
        <w:ind w:left="23"/>
        <w:rPr>
          <w:rFonts w:hint="eastAsia" w:ascii="宋体" w:hAnsi="宋体" w:eastAsia="宋体" w:cs="宋体"/>
          <w:sz w:val="24"/>
          <w:szCs w:val="24"/>
          <w:lang w:eastAsia="zh-CN"/>
        </w:rPr>
      </w:pPr>
      <w:r>
        <w:rPr>
          <w:rFonts w:ascii="宋体" w:hAnsi="宋体" w:eastAsia="宋体" w:cs="宋体"/>
          <w:spacing w:val="-2"/>
          <w:sz w:val="24"/>
          <w:szCs w:val="24"/>
          <w:lang w:eastAsia="zh-CN"/>
        </w:rPr>
        <w:t>姓名</w:t>
      </w:r>
      <w:r>
        <w:rPr>
          <w:rFonts w:ascii="仿宋" w:hAnsi="仿宋" w:eastAsia="仿宋" w:cs="仿宋"/>
          <w:spacing w:val="-2"/>
          <w:sz w:val="28"/>
          <w:szCs w:val="28"/>
          <w:lang w:eastAsia="zh-CN"/>
        </w:rPr>
        <w:t>：</w:t>
      </w:r>
      <w:r>
        <w:rPr>
          <w:rFonts w:ascii="仿宋" w:hAnsi="仿宋" w:eastAsia="仿宋" w:cs="仿宋"/>
          <w:spacing w:val="-2"/>
          <w:sz w:val="28"/>
          <w:szCs w:val="28"/>
          <w:u w:val="single"/>
          <w:lang w:eastAsia="zh-CN"/>
        </w:rPr>
        <w:t xml:space="preserve">          </w:t>
      </w:r>
      <w:r>
        <w:rPr>
          <w:rFonts w:ascii="仿宋" w:hAnsi="仿宋" w:eastAsia="仿宋" w:cs="仿宋"/>
          <w:spacing w:val="12"/>
          <w:sz w:val="28"/>
          <w:szCs w:val="28"/>
          <w:lang w:eastAsia="zh-CN"/>
        </w:rPr>
        <w:t xml:space="preserve"> </w:t>
      </w:r>
      <w:r>
        <w:rPr>
          <w:rFonts w:ascii="宋体" w:hAnsi="宋体" w:eastAsia="宋体" w:cs="宋体"/>
          <w:spacing w:val="-2"/>
          <w:sz w:val="24"/>
          <w:szCs w:val="24"/>
          <w:lang w:eastAsia="zh-CN"/>
        </w:rPr>
        <w:t>性别：</w:t>
      </w:r>
      <w:r>
        <w:rPr>
          <w:rFonts w:ascii="宋体" w:hAnsi="宋体" w:eastAsia="宋体" w:cs="宋体"/>
          <w:spacing w:val="-2"/>
          <w:sz w:val="24"/>
          <w:szCs w:val="24"/>
          <w:u w:val="single"/>
          <w:lang w:eastAsia="zh-CN"/>
        </w:rPr>
        <w:t xml:space="preserve">      </w:t>
      </w:r>
      <w:r>
        <w:rPr>
          <w:rFonts w:ascii="宋体" w:hAnsi="宋体" w:eastAsia="宋体" w:cs="宋体"/>
          <w:spacing w:val="-68"/>
          <w:sz w:val="24"/>
          <w:szCs w:val="24"/>
          <w:lang w:eastAsia="zh-CN"/>
        </w:rPr>
        <w:t xml:space="preserve"> </w:t>
      </w:r>
      <w:r>
        <w:rPr>
          <w:rFonts w:ascii="宋体" w:hAnsi="宋体" w:eastAsia="宋体" w:cs="宋体"/>
          <w:spacing w:val="-2"/>
          <w:sz w:val="24"/>
          <w:szCs w:val="24"/>
          <w:lang w:eastAsia="zh-CN"/>
        </w:rPr>
        <w:t>年龄</w:t>
      </w:r>
      <w:r>
        <w:rPr>
          <w:rFonts w:ascii="仿宋" w:hAnsi="仿宋" w:eastAsia="仿宋" w:cs="仿宋"/>
          <w:spacing w:val="-2"/>
          <w:sz w:val="28"/>
          <w:szCs w:val="28"/>
          <w:lang w:eastAsia="zh-CN"/>
        </w:rPr>
        <w:t>：</w:t>
      </w:r>
      <w:r>
        <w:rPr>
          <w:rFonts w:ascii="仿宋" w:hAnsi="仿宋" w:eastAsia="仿宋" w:cs="仿宋"/>
          <w:spacing w:val="1"/>
          <w:sz w:val="28"/>
          <w:szCs w:val="28"/>
          <w:u w:val="single"/>
          <w:lang w:eastAsia="zh-CN"/>
        </w:rPr>
        <w:t xml:space="preserve">     </w:t>
      </w:r>
      <w:r>
        <w:rPr>
          <w:rFonts w:ascii="仿宋" w:hAnsi="仿宋" w:eastAsia="仿宋" w:cs="仿宋"/>
          <w:spacing w:val="-105"/>
          <w:sz w:val="28"/>
          <w:szCs w:val="28"/>
          <w:lang w:eastAsia="zh-CN"/>
        </w:rPr>
        <w:t xml:space="preserve"> </w:t>
      </w:r>
      <w:r>
        <w:rPr>
          <w:rFonts w:ascii="宋体" w:hAnsi="宋体" w:eastAsia="宋体" w:cs="宋体"/>
          <w:spacing w:val="-2"/>
          <w:sz w:val="24"/>
          <w:szCs w:val="24"/>
          <w:lang w:eastAsia="zh-CN"/>
        </w:rPr>
        <w:t>职务：</w:t>
      </w:r>
      <w:r>
        <w:rPr>
          <w:rFonts w:ascii="宋体" w:hAnsi="宋体" w:eastAsia="宋体" w:cs="宋体"/>
          <w:sz w:val="24"/>
          <w:szCs w:val="24"/>
          <w:u w:val="single"/>
          <w:lang w:eastAsia="zh-CN"/>
        </w:rPr>
        <w:t xml:space="preserve">      </w:t>
      </w:r>
    </w:p>
    <w:p w14:paraId="3EAAF7D9">
      <w:pPr>
        <w:spacing w:before="175" w:line="224" w:lineRule="auto"/>
        <w:ind w:left="28"/>
        <w:rPr>
          <w:rFonts w:hint="eastAsia" w:ascii="宋体" w:hAnsi="宋体" w:eastAsia="宋体" w:cs="宋体"/>
          <w:sz w:val="24"/>
          <w:szCs w:val="24"/>
          <w:lang w:eastAsia="zh-CN"/>
        </w:rPr>
      </w:pPr>
      <w:r>
        <w:rPr>
          <w:rFonts w:ascii="宋体" w:hAnsi="宋体" w:eastAsia="宋体" w:cs="宋体"/>
          <w:spacing w:val="-2"/>
          <w:sz w:val="24"/>
          <w:szCs w:val="24"/>
          <w:lang w:eastAsia="zh-CN"/>
        </w:rPr>
        <w:t>系</w:t>
      </w:r>
      <w:r>
        <w:rPr>
          <w:rFonts w:ascii="宋体" w:hAnsi="宋体" w:eastAsia="宋体" w:cs="宋体"/>
          <w:spacing w:val="-2"/>
          <w:sz w:val="24"/>
          <w:szCs w:val="24"/>
          <w:u w:val="single"/>
          <w:lang w:eastAsia="zh-CN"/>
        </w:rPr>
        <w:t xml:space="preserve">                    </w:t>
      </w:r>
      <w:r>
        <w:rPr>
          <w:rFonts w:ascii="宋体" w:hAnsi="宋体" w:eastAsia="宋体" w:cs="宋体"/>
          <w:spacing w:val="37"/>
          <w:sz w:val="24"/>
          <w:szCs w:val="24"/>
          <w:lang w:eastAsia="zh-CN"/>
        </w:rPr>
        <w:t xml:space="preserve"> </w:t>
      </w:r>
      <w:r>
        <w:rPr>
          <w:rFonts w:ascii="仿宋" w:hAnsi="仿宋" w:eastAsia="仿宋" w:cs="仿宋"/>
          <w:spacing w:val="-2"/>
          <w:sz w:val="28"/>
          <w:szCs w:val="28"/>
          <w:lang w:eastAsia="zh-CN"/>
        </w:rPr>
        <w:t>(</w:t>
      </w:r>
      <w:r>
        <w:rPr>
          <w:rFonts w:hint="eastAsia" w:ascii="宋体" w:hAnsi="宋体" w:eastAsia="宋体" w:cs="宋体"/>
          <w:spacing w:val="-2"/>
          <w:sz w:val="24"/>
          <w:szCs w:val="24"/>
          <w:lang w:eastAsia="zh-CN"/>
        </w:rPr>
        <w:t>供应商</w:t>
      </w:r>
      <w:r>
        <w:rPr>
          <w:rFonts w:ascii="宋体" w:hAnsi="宋体" w:eastAsia="宋体" w:cs="宋体"/>
          <w:spacing w:val="-2"/>
          <w:sz w:val="24"/>
          <w:szCs w:val="24"/>
          <w:lang w:eastAsia="zh-CN"/>
        </w:rPr>
        <w:t>名称）的法定代表人（单位负责人)</w:t>
      </w:r>
    </w:p>
    <w:p w14:paraId="3FF30C8F">
      <w:pPr>
        <w:spacing w:before="216" w:line="219" w:lineRule="auto"/>
        <w:ind w:left="23"/>
        <w:rPr>
          <w:rFonts w:hint="eastAsia" w:ascii="宋体" w:hAnsi="宋体" w:eastAsia="宋体" w:cs="宋体"/>
          <w:sz w:val="24"/>
          <w:szCs w:val="24"/>
          <w:lang w:eastAsia="zh-CN"/>
        </w:rPr>
      </w:pPr>
      <w:r>
        <w:rPr>
          <w:rFonts w:ascii="宋体" w:hAnsi="宋体" w:eastAsia="宋体" w:cs="宋体"/>
          <w:spacing w:val="-2"/>
          <w:sz w:val="24"/>
          <w:szCs w:val="24"/>
          <w:lang w:eastAsia="zh-CN"/>
        </w:rPr>
        <w:t>特此证明。</w:t>
      </w:r>
    </w:p>
    <w:p w14:paraId="6A35A3C9">
      <w:pPr>
        <w:spacing w:before="236" w:line="385" w:lineRule="auto"/>
        <w:ind w:left="23" w:right="3319" w:firstLine="18"/>
        <w:rPr>
          <w:rFonts w:hint="eastAsia" w:ascii="宋体" w:hAnsi="宋体" w:eastAsia="宋体" w:cs="宋体"/>
          <w:sz w:val="24"/>
          <w:szCs w:val="24"/>
          <w:lang w:eastAsia="zh-CN"/>
        </w:rPr>
      </w:pPr>
      <w:r>
        <w:rPr>
          <w:rFonts w:ascii="宋体" w:hAnsi="宋体" w:eastAsia="宋体" w:cs="宋体"/>
          <w:spacing w:val="-4"/>
          <w:sz w:val="24"/>
          <w:szCs w:val="24"/>
          <w:lang w:eastAsia="zh-CN"/>
        </w:rPr>
        <w:t>附：法定代表人（单位负责人）身份证复印件。</w:t>
      </w:r>
      <w:r>
        <w:rPr>
          <w:rFonts w:ascii="宋体" w:hAnsi="宋体" w:eastAsia="宋体" w:cs="宋体"/>
          <w:spacing w:val="15"/>
          <w:sz w:val="24"/>
          <w:szCs w:val="24"/>
          <w:lang w:eastAsia="zh-CN"/>
        </w:rPr>
        <w:t xml:space="preserve"> </w:t>
      </w:r>
      <w:r>
        <w:rPr>
          <w:rFonts w:ascii="宋体" w:hAnsi="宋体" w:eastAsia="宋体" w:cs="宋体"/>
          <w:spacing w:val="-1"/>
          <w:sz w:val="24"/>
          <w:szCs w:val="24"/>
          <w:lang w:eastAsia="zh-CN"/>
        </w:rPr>
        <w:t>注：本身份证明需由承揽方加盖单位公章。</w:t>
      </w:r>
    </w:p>
    <w:p w14:paraId="26D94E0E">
      <w:pPr>
        <w:pStyle w:val="11"/>
        <w:spacing w:line="254" w:lineRule="auto"/>
        <w:rPr>
          <w:lang w:eastAsia="zh-CN"/>
        </w:rPr>
      </w:pPr>
    </w:p>
    <w:p w14:paraId="79944879">
      <w:pPr>
        <w:pStyle w:val="11"/>
        <w:spacing w:line="254" w:lineRule="auto"/>
        <w:rPr>
          <w:lang w:eastAsia="zh-CN"/>
        </w:rPr>
      </w:pPr>
    </w:p>
    <w:p w14:paraId="48AD3E8C">
      <w:pPr>
        <w:pStyle w:val="11"/>
        <w:spacing w:line="254" w:lineRule="auto"/>
        <w:rPr>
          <w:lang w:eastAsia="zh-CN"/>
        </w:rPr>
      </w:pPr>
    </w:p>
    <w:p w14:paraId="39454C9D">
      <w:pPr>
        <w:pStyle w:val="11"/>
        <w:spacing w:line="254" w:lineRule="auto"/>
        <w:rPr>
          <w:lang w:eastAsia="zh-CN"/>
        </w:rPr>
      </w:pPr>
    </w:p>
    <w:p w14:paraId="3298EF03">
      <w:pPr>
        <w:pStyle w:val="11"/>
        <w:spacing w:line="255" w:lineRule="auto"/>
        <w:rPr>
          <w:lang w:eastAsia="zh-CN"/>
        </w:rPr>
      </w:pPr>
    </w:p>
    <w:p w14:paraId="301626F9">
      <w:pPr>
        <w:pStyle w:val="11"/>
        <w:spacing w:line="255" w:lineRule="auto"/>
        <w:rPr>
          <w:lang w:eastAsia="zh-CN"/>
        </w:rPr>
      </w:pPr>
    </w:p>
    <w:p w14:paraId="5CE1F2FA">
      <w:pPr>
        <w:spacing w:before="78" w:line="219" w:lineRule="auto"/>
        <w:ind w:left="4166"/>
        <w:rPr>
          <w:rFonts w:hint="eastAsia" w:ascii="宋体" w:hAnsi="宋体" w:eastAsia="宋体" w:cs="宋体"/>
          <w:sz w:val="24"/>
          <w:szCs w:val="24"/>
          <w:lang w:eastAsia="zh-CN"/>
        </w:rPr>
      </w:pPr>
      <w:r>
        <w:rPr>
          <w:rFonts w:hint="eastAsia" w:ascii="宋体" w:hAnsi="宋体" w:eastAsia="宋体" w:cs="宋体"/>
          <w:spacing w:val="-15"/>
          <w:sz w:val="24"/>
          <w:szCs w:val="24"/>
          <w:lang w:eastAsia="zh-CN"/>
        </w:rPr>
        <w:t>供应商</w:t>
      </w:r>
      <w:r>
        <w:rPr>
          <w:rFonts w:ascii="宋体" w:hAnsi="宋体" w:eastAsia="宋体" w:cs="宋体"/>
          <w:spacing w:val="-15"/>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31"/>
          <w:sz w:val="24"/>
          <w:szCs w:val="24"/>
          <w:lang w:eastAsia="zh-CN"/>
        </w:rPr>
        <w:t xml:space="preserve"> </w:t>
      </w:r>
      <w:r>
        <w:rPr>
          <w:rFonts w:ascii="宋体" w:hAnsi="宋体" w:eastAsia="宋体" w:cs="宋体"/>
          <w:spacing w:val="-15"/>
          <w:sz w:val="24"/>
          <w:szCs w:val="24"/>
          <w:lang w:eastAsia="zh-CN"/>
        </w:rPr>
        <w:t>(单位公章)</w:t>
      </w:r>
    </w:p>
    <w:p w14:paraId="63333676">
      <w:pPr>
        <w:pStyle w:val="11"/>
        <w:spacing w:line="264" w:lineRule="auto"/>
        <w:rPr>
          <w:lang w:eastAsia="zh-CN"/>
        </w:rPr>
      </w:pPr>
    </w:p>
    <w:p w14:paraId="3EBD3E4F">
      <w:pPr>
        <w:pStyle w:val="11"/>
        <w:spacing w:line="265" w:lineRule="auto"/>
        <w:rPr>
          <w:lang w:eastAsia="zh-CN"/>
        </w:rPr>
      </w:pPr>
    </w:p>
    <w:p w14:paraId="7D0C36AF">
      <w:pPr>
        <w:pStyle w:val="11"/>
        <w:spacing w:line="265" w:lineRule="auto"/>
        <w:rPr>
          <w:lang w:eastAsia="zh-CN"/>
        </w:rPr>
      </w:pPr>
    </w:p>
    <w:p w14:paraId="589ADD8B">
      <w:pPr>
        <w:spacing w:before="79" w:line="219" w:lineRule="auto"/>
        <w:ind w:left="4663"/>
        <w:rPr>
          <w:rFonts w:hint="eastAsia" w:ascii="宋体" w:hAnsi="宋体" w:eastAsia="宋体" w:cs="宋体"/>
          <w:sz w:val="24"/>
          <w:szCs w:val="24"/>
          <w:lang w:eastAsia="zh-CN"/>
        </w:rPr>
      </w:pPr>
      <w:r>
        <w:rPr>
          <w:rFonts w:ascii="宋体" w:hAnsi="宋体" w:eastAsia="宋体" w:cs="宋体"/>
          <w:spacing w:val="-4"/>
          <w:sz w:val="24"/>
          <w:szCs w:val="24"/>
          <w:lang w:eastAsia="zh-CN"/>
        </w:rPr>
        <w:t>年月日</w:t>
      </w:r>
    </w:p>
    <w:p w14:paraId="48321502">
      <w:pPr>
        <w:spacing w:line="219" w:lineRule="auto"/>
        <w:rPr>
          <w:rFonts w:hint="eastAsia" w:ascii="宋体" w:hAnsi="宋体" w:eastAsia="宋体" w:cs="宋体"/>
          <w:sz w:val="24"/>
          <w:szCs w:val="24"/>
          <w:lang w:eastAsia="zh-CN"/>
        </w:rPr>
        <w:sectPr>
          <w:footerReference r:id="rId14" w:type="default"/>
          <w:pgSz w:w="11906" w:h="16839"/>
          <w:pgMar w:top="1431" w:right="1785" w:bottom="1156" w:left="1785" w:header="0" w:footer="994" w:gutter="0"/>
          <w:cols w:space="720" w:num="1"/>
        </w:sectPr>
      </w:pPr>
    </w:p>
    <w:p w14:paraId="445CBCB3">
      <w:pPr>
        <w:spacing w:before="122" w:line="219" w:lineRule="auto"/>
        <w:ind w:left="508"/>
        <w:rPr>
          <w:rFonts w:hint="eastAsia" w:ascii="宋体" w:hAnsi="宋体" w:eastAsia="宋体" w:cs="宋体"/>
          <w:sz w:val="24"/>
          <w:szCs w:val="24"/>
          <w:lang w:eastAsia="zh-CN"/>
        </w:rPr>
      </w:pPr>
      <w:r>
        <w:rPr>
          <w:rFonts w:ascii="宋体" w:hAnsi="宋体" w:eastAsia="宋体" w:cs="宋体"/>
          <w:spacing w:val="-3"/>
          <w:sz w:val="24"/>
          <w:szCs w:val="24"/>
          <w:lang w:eastAsia="zh-CN"/>
        </w:rPr>
        <w:t>3、授权委托书</w:t>
      </w:r>
    </w:p>
    <w:p w14:paraId="34C00A1A">
      <w:pPr>
        <w:spacing w:before="223" w:line="227" w:lineRule="auto"/>
        <w:ind w:left="1569"/>
        <w:outlineLvl w:val="1"/>
        <w:rPr>
          <w:rFonts w:hint="eastAsia" w:ascii="仿宋" w:hAnsi="仿宋" w:eastAsia="仿宋" w:cs="仿宋"/>
          <w:sz w:val="30"/>
          <w:szCs w:val="30"/>
          <w:lang w:eastAsia="zh-CN"/>
        </w:rPr>
      </w:pPr>
      <w:r>
        <w:rPr>
          <w:rFonts w:ascii="黑体" w:hAnsi="黑体" w:eastAsia="黑体" w:cs="黑体"/>
          <w:sz w:val="31"/>
          <w:szCs w:val="31"/>
          <w:lang w:eastAsia="zh-CN"/>
        </w:rPr>
        <w:t>授权委托书</w:t>
      </w:r>
      <w:r>
        <w:rPr>
          <w:rFonts w:ascii="仿宋" w:hAnsi="仿宋" w:eastAsia="仿宋" w:cs="仿宋"/>
          <w:b/>
          <w:bCs/>
          <w:sz w:val="30"/>
          <w:szCs w:val="30"/>
          <w:lang w:eastAsia="zh-CN"/>
        </w:rPr>
        <w:t>(适用于委托代理人</w:t>
      </w:r>
      <w:r>
        <w:rPr>
          <w:rFonts w:hint="eastAsia" w:ascii="仿宋" w:hAnsi="仿宋" w:eastAsia="仿宋" w:cs="仿宋"/>
          <w:b/>
          <w:bCs/>
          <w:sz w:val="30"/>
          <w:szCs w:val="30"/>
          <w:lang w:eastAsia="zh-CN"/>
        </w:rPr>
        <w:t>谈判</w:t>
      </w:r>
      <w:r>
        <w:rPr>
          <w:rFonts w:ascii="仿宋" w:hAnsi="仿宋" w:eastAsia="仿宋" w:cs="仿宋"/>
          <w:b/>
          <w:bCs/>
          <w:sz w:val="30"/>
          <w:szCs w:val="30"/>
          <w:lang w:eastAsia="zh-CN"/>
        </w:rPr>
        <w:t>时)</w:t>
      </w:r>
    </w:p>
    <w:p w14:paraId="46505093">
      <w:pPr>
        <w:pStyle w:val="11"/>
        <w:spacing w:line="474" w:lineRule="auto"/>
        <w:rPr>
          <w:lang w:eastAsia="zh-CN"/>
        </w:rPr>
      </w:pPr>
    </w:p>
    <w:p w14:paraId="122FFC09">
      <w:pPr>
        <w:spacing w:before="78" w:line="293" w:lineRule="auto"/>
        <w:ind w:left="24" w:firstLine="480"/>
        <w:jc w:val="both"/>
        <w:rPr>
          <w:rFonts w:hint="eastAsia" w:ascii="宋体" w:hAnsi="宋体" w:eastAsia="宋体" w:cs="宋体"/>
          <w:sz w:val="24"/>
          <w:szCs w:val="24"/>
          <w:lang w:eastAsia="zh-CN"/>
        </w:rPr>
      </w:pPr>
      <w:r>
        <w:rPr>
          <w:rFonts w:ascii="宋体" w:hAnsi="宋体" w:eastAsia="宋体" w:cs="宋体"/>
          <w:spacing w:val="-20"/>
          <w:sz w:val="24"/>
          <w:szCs w:val="24"/>
          <w:lang w:eastAsia="zh-CN"/>
        </w:rPr>
        <w:t>本人</w:t>
      </w:r>
      <w:r>
        <w:rPr>
          <w:rFonts w:ascii="宋体" w:hAnsi="宋体" w:eastAsia="宋体" w:cs="宋体"/>
          <w:sz w:val="24"/>
          <w:szCs w:val="24"/>
          <w:u w:val="single"/>
          <w:lang w:eastAsia="zh-CN"/>
        </w:rPr>
        <w:t xml:space="preserve">       </w:t>
      </w:r>
      <w:r>
        <w:rPr>
          <w:rFonts w:ascii="宋体" w:hAnsi="宋体" w:eastAsia="宋体" w:cs="宋体"/>
          <w:spacing w:val="-20"/>
          <w:sz w:val="24"/>
          <w:szCs w:val="24"/>
          <w:lang w:eastAsia="zh-CN"/>
        </w:rPr>
        <w:t>（姓名）系</w:t>
      </w:r>
      <w:r>
        <w:rPr>
          <w:rFonts w:ascii="宋体" w:hAnsi="宋体" w:eastAsia="宋体" w:cs="宋体"/>
          <w:spacing w:val="17"/>
          <w:sz w:val="24"/>
          <w:szCs w:val="24"/>
          <w:u w:val="single"/>
          <w:lang w:eastAsia="zh-CN"/>
        </w:rPr>
        <w:t xml:space="preserve">       </w:t>
      </w:r>
      <w:r>
        <w:rPr>
          <w:rFonts w:ascii="宋体" w:hAnsi="宋体" w:eastAsia="宋体" w:cs="宋体"/>
          <w:spacing w:val="-20"/>
          <w:sz w:val="24"/>
          <w:szCs w:val="24"/>
          <w:lang w:eastAsia="zh-CN"/>
        </w:rPr>
        <w:t>（名称）的法定代表人，现</w:t>
      </w:r>
      <w:r>
        <w:rPr>
          <w:rFonts w:ascii="宋体" w:hAnsi="宋体" w:eastAsia="宋体" w:cs="宋体"/>
          <w:spacing w:val="-21"/>
          <w:sz w:val="24"/>
          <w:szCs w:val="24"/>
          <w:lang w:eastAsia="zh-CN"/>
        </w:rPr>
        <w:t>委托</w:t>
      </w:r>
      <w:r>
        <w:rPr>
          <w:rFonts w:ascii="宋体" w:hAnsi="宋体" w:eastAsia="宋体" w:cs="宋体"/>
          <w:spacing w:val="17"/>
          <w:sz w:val="24"/>
          <w:szCs w:val="24"/>
          <w:u w:val="single"/>
          <w:lang w:eastAsia="zh-CN"/>
        </w:rPr>
        <w:t xml:space="preserve">       </w:t>
      </w:r>
      <w:r>
        <w:rPr>
          <w:rFonts w:ascii="宋体" w:hAnsi="宋体" w:eastAsia="宋体" w:cs="宋体"/>
          <w:spacing w:val="-21"/>
          <w:sz w:val="24"/>
          <w:szCs w:val="24"/>
          <w:lang w:eastAsia="zh-CN"/>
        </w:rPr>
        <w:t>（姓</w:t>
      </w:r>
      <w:r>
        <w:rPr>
          <w:rFonts w:ascii="宋体" w:hAnsi="宋体" w:eastAsia="宋体" w:cs="宋体"/>
          <w:spacing w:val="1"/>
          <w:sz w:val="24"/>
          <w:szCs w:val="24"/>
          <w:lang w:eastAsia="zh-CN"/>
        </w:rPr>
        <w:t xml:space="preserve"> </w:t>
      </w:r>
      <w:r>
        <w:rPr>
          <w:rFonts w:ascii="宋体" w:hAnsi="宋体" w:eastAsia="宋体" w:cs="宋体"/>
          <w:spacing w:val="-3"/>
          <w:sz w:val="24"/>
          <w:szCs w:val="24"/>
          <w:lang w:eastAsia="zh-CN"/>
        </w:rPr>
        <w:t>名）为我方代理人。代理人根据授权，以我方名义签署、澄清、说明、补</w:t>
      </w:r>
      <w:r>
        <w:rPr>
          <w:rFonts w:ascii="宋体" w:hAnsi="宋体" w:eastAsia="宋体" w:cs="宋体"/>
          <w:spacing w:val="-4"/>
          <w:sz w:val="24"/>
          <w:szCs w:val="24"/>
          <w:lang w:eastAsia="zh-CN"/>
        </w:rPr>
        <w:t>正、递</w:t>
      </w:r>
      <w:r>
        <w:rPr>
          <w:rFonts w:ascii="宋体" w:hAnsi="宋体" w:eastAsia="宋体" w:cs="宋体"/>
          <w:sz w:val="24"/>
          <w:szCs w:val="24"/>
          <w:lang w:eastAsia="zh-CN"/>
        </w:rPr>
        <w:t xml:space="preserve"> </w:t>
      </w:r>
      <w:r>
        <w:rPr>
          <w:rFonts w:ascii="宋体" w:hAnsi="宋体" w:eastAsia="宋体" w:cs="宋体"/>
          <w:spacing w:val="-4"/>
          <w:sz w:val="24"/>
          <w:szCs w:val="24"/>
          <w:lang w:eastAsia="zh-CN"/>
        </w:rPr>
        <w:t>交、撤回、修改</w:t>
      </w:r>
      <w:r>
        <w:rPr>
          <w:rFonts w:ascii="宋体" w:hAnsi="宋体" w:eastAsia="宋体" w:cs="宋体"/>
          <w:spacing w:val="-4"/>
          <w:sz w:val="24"/>
          <w:szCs w:val="24"/>
          <w:u w:val="single"/>
          <w:lang w:eastAsia="zh-CN"/>
        </w:rPr>
        <w:t xml:space="preserve">           </w:t>
      </w:r>
      <w:r>
        <w:rPr>
          <w:rFonts w:ascii="宋体" w:hAnsi="宋体" w:eastAsia="宋体" w:cs="宋体"/>
          <w:spacing w:val="-4"/>
          <w:sz w:val="24"/>
          <w:szCs w:val="24"/>
          <w:lang w:eastAsia="zh-CN"/>
        </w:rPr>
        <w:t>（项目名称）响应文件、签订合同和处理有关事宜，</w:t>
      </w:r>
      <w:r>
        <w:rPr>
          <w:rFonts w:ascii="宋体" w:hAnsi="宋体" w:eastAsia="宋体" w:cs="宋体"/>
          <w:sz w:val="24"/>
          <w:szCs w:val="24"/>
          <w:lang w:eastAsia="zh-CN"/>
        </w:rPr>
        <w:t xml:space="preserve"> </w:t>
      </w:r>
      <w:r>
        <w:rPr>
          <w:rFonts w:ascii="宋体" w:hAnsi="宋体" w:eastAsia="宋体" w:cs="宋体"/>
          <w:spacing w:val="-1"/>
          <w:sz w:val="24"/>
          <w:szCs w:val="24"/>
          <w:lang w:eastAsia="zh-CN"/>
        </w:rPr>
        <w:t>其法律后果由我方承担。</w:t>
      </w:r>
    </w:p>
    <w:p w14:paraId="55E49692">
      <w:pPr>
        <w:spacing w:before="35" w:line="286" w:lineRule="auto"/>
        <w:ind w:left="502" w:right="4927"/>
        <w:rPr>
          <w:rFonts w:hint="eastAsia" w:ascii="宋体" w:hAnsi="宋体" w:eastAsia="宋体" w:cs="宋体"/>
          <w:sz w:val="24"/>
          <w:szCs w:val="24"/>
          <w:lang w:eastAsia="zh-CN"/>
        </w:rPr>
      </w:pPr>
      <w:r>
        <w:rPr>
          <w:rFonts w:ascii="宋体" w:hAnsi="宋体" w:eastAsia="宋体" w:cs="宋体"/>
          <w:spacing w:val="-9"/>
          <w:sz w:val="24"/>
          <w:szCs w:val="24"/>
          <w:lang w:eastAsia="zh-CN"/>
        </w:rPr>
        <w:t>委托期限：</w:t>
      </w:r>
      <w:r>
        <w:rPr>
          <w:rFonts w:ascii="宋体" w:hAnsi="宋体" w:eastAsia="宋体" w:cs="宋体"/>
          <w:sz w:val="24"/>
          <w:szCs w:val="24"/>
          <w:u w:val="single"/>
          <w:lang w:eastAsia="zh-CN"/>
        </w:rPr>
        <w:t xml:space="preserve">             </w:t>
      </w:r>
      <w:r>
        <w:rPr>
          <w:rFonts w:ascii="宋体" w:hAnsi="宋体" w:eastAsia="宋体" w:cs="宋体"/>
          <w:spacing w:val="-9"/>
          <w:sz w:val="24"/>
          <w:szCs w:val="24"/>
          <w:lang w:eastAsia="zh-CN"/>
        </w:rPr>
        <w:t>。</w:t>
      </w:r>
      <w:r>
        <w:rPr>
          <w:rFonts w:ascii="宋体" w:hAnsi="宋体" w:eastAsia="宋体" w:cs="宋体"/>
          <w:spacing w:val="4"/>
          <w:sz w:val="24"/>
          <w:szCs w:val="24"/>
          <w:lang w:eastAsia="zh-CN"/>
        </w:rPr>
        <w:t xml:space="preserve"> </w:t>
      </w:r>
      <w:r>
        <w:rPr>
          <w:rFonts w:ascii="宋体" w:hAnsi="宋体" w:eastAsia="宋体" w:cs="宋体"/>
          <w:spacing w:val="-1"/>
          <w:sz w:val="24"/>
          <w:szCs w:val="24"/>
          <w:lang w:eastAsia="zh-CN"/>
        </w:rPr>
        <w:t>代理人无转委托权。</w:t>
      </w:r>
    </w:p>
    <w:p w14:paraId="3D714CCF">
      <w:pPr>
        <w:spacing w:before="75" w:line="219" w:lineRule="auto"/>
        <w:ind w:left="522"/>
        <w:rPr>
          <w:rFonts w:hint="eastAsia" w:ascii="宋体" w:hAnsi="宋体" w:eastAsia="宋体" w:cs="宋体"/>
          <w:sz w:val="24"/>
          <w:szCs w:val="24"/>
          <w:lang w:eastAsia="zh-CN"/>
        </w:rPr>
      </w:pPr>
      <w:r>
        <w:rPr>
          <w:rFonts w:ascii="宋体" w:hAnsi="宋体" w:eastAsia="宋体" w:cs="宋体"/>
          <w:spacing w:val="2"/>
          <w:sz w:val="24"/>
          <w:szCs w:val="24"/>
          <w:lang w:eastAsia="zh-CN"/>
        </w:rPr>
        <w:t>附</w:t>
      </w:r>
      <w:r>
        <w:rPr>
          <w:rFonts w:ascii="宋体" w:hAnsi="宋体" w:eastAsia="宋体" w:cs="宋体"/>
          <w:spacing w:val="-30"/>
          <w:sz w:val="24"/>
          <w:szCs w:val="24"/>
          <w:lang w:eastAsia="zh-CN"/>
        </w:rPr>
        <w:t>：（</w:t>
      </w:r>
      <w:r>
        <w:rPr>
          <w:rFonts w:ascii="宋体" w:hAnsi="宋体" w:eastAsia="宋体" w:cs="宋体"/>
          <w:spacing w:val="2"/>
          <w:sz w:val="24"/>
          <w:szCs w:val="24"/>
          <w:lang w:eastAsia="zh-CN"/>
        </w:rPr>
        <w:t>1）法定代表人身份证复印件。</w:t>
      </w:r>
    </w:p>
    <w:p w14:paraId="3E9C7F03">
      <w:pPr>
        <w:spacing w:before="184" w:line="219" w:lineRule="auto"/>
        <w:ind w:left="874"/>
        <w:rPr>
          <w:rFonts w:hint="eastAsia" w:ascii="宋体" w:hAnsi="宋体" w:eastAsia="宋体" w:cs="宋体"/>
          <w:sz w:val="24"/>
          <w:szCs w:val="24"/>
          <w:lang w:eastAsia="zh-CN"/>
        </w:rPr>
      </w:pPr>
      <w:r>
        <w:rPr>
          <w:rFonts w:ascii="宋体" w:hAnsi="宋体" w:eastAsia="宋体" w:cs="宋体"/>
          <w:spacing w:val="-2"/>
          <w:sz w:val="24"/>
          <w:szCs w:val="24"/>
          <w:lang w:eastAsia="zh-CN"/>
        </w:rPr>
        <w:t>（2）委托代理人身份证复印件。</w:t>
      </w:r>
    </w:p>
    <w:p w14:paraId="14C15974">
      <w:pPr>
        <w:spacing w:before="184" w:line="219" w:lineRule="auto"/>
        <w:ind w:left="874"/>
        <w:rPr>
          <w:rFonts w:hint="eastAsia" w:ascii="宋体" w:hAnsi="宋体" w:eastAsia="宋体" w:cs="宋体"/>
          <w:sz w:val="24"/>
          <w:szCs w:val="24"/>
          <w:lang w:eastAsia="zh-CN"/>
        </w:rPr>
      </w:pPr>
      <w:r>
        <w:rPr>
          <w:rFonts w:ascii="宋体" w:hAnsi="宋体" w:eastAsia="宋体" w:cs="宋体"/>
          <w:spacing w:val="-2"/>
          <w:sz w:val="24"/>
          <w:szCs w:val="24"/>
          <w:lang w:eastAsia="zh-CN"/>
        </w:rPr>
        <w:t>（3）委托代理人社保证明。</w:t>
      </w:r>
    </w:p>
    <w:p w14:paraId="589175EE">
      <w:pPr>
        <w:pStyle w:val="11"/>
        <w:spacing w:line="280" w:lineRule="auto"/>
        <w:rPr>
          <w:lang w:eastAsia="zh-CN"/>
        </w:rPr>
      </w:pPr>
    </w:p>
    <w:p w14:paraId="5F660D8A">
      <w:pPr>
        <w:pStyle w:val="11"/>
        <w:spacing w:line="280" w:lineRule="auto"/>
        <w:rPr>
          <w:lang w:eastAsia="zh-CN"/>
        </w:rPr>
      </w:pPr>
    </w:p>
    <w:p w14:paraId="69225E6B">
      <w:pPr>
        <w:pStyle w:val="11"/>
        <w:spacing w:line="280" w:lineRule="auto"/>
        <w:rPr>
          <w:lang w:eastAsia="zh-CN"/>
        </w:rPr>
      </w:pPr>
    </w:p>
    <w:p w14:paraId="668D0F4D">
      <w:pPr>
        <w:spacing w:before="78" w:line="219" w:lineRule="auto"/>
        <w:ind w:left="26"/>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供应商</w:t>
      </w:r>
      <w:r>
        <w:rPr>
          <w:rFonts w:ascii="宋体" w:hAnsi="宋体" w:eastAsia="宋体" w:cs="宋体"/>
          <w:spacing w:val="-15"/>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15"/>
          <w:sz w:val="24"/>
          <w:szCs w:val="24"/>
          <w:lang w:eastAsia="zh-CN"/>
        </w:rPr>
        <w:t>（</w:t>
      </w:r>
      <w:r>
        <w:rPr>
          <w:rFonts w:ascii="宋体" w:hAnsi="宋体" w:eastAsia="宋体" w:cs="宋体"/>
          <w:spacing w:val="2"/>
          <w:sz w:val="24"/>
          <w:szCs w:val="24"/>
          <w:lang w:eastAsia="zh-CN"/>
        </w:rPr>
        <w:t>盖单位章）</w:t>
      </w:r>
    </w:p>
    <w:p w14:paraId="4C90F468">
      <w:pPr>
        <w:pStyle w:val="11"/>
        <w:spacing w:line="414" w:lineRule="auto"/>
        <w:rPr>
          <w:lang w:eastAsia="zh-CN"/>
        </w:rPr>
      </w:pPr>
    </w:p>
    <w:p w14:paraId="6FFD2826">
      <w:pPr>
        <w:spacing w:before="79" w:line="219" w:lineRule="auto"/>
        <w:ind w:left="24"/>
        <w:rPr>
          <w:rFonts w:hint="eastAsia" w:ascii="宋体" w:hAnsi="宋体" w:eastAsia="宋体" w:cs="宋体"/>
          <w:sz w:val="24"/>
          <w:szCs w:val="24"/>
          <w:lang w:eastAsia="zh-CN"/>
        </w:rPr>
      </w:pPr>
      <w:r>
        <w:rPr>
          <w:rFonts w:ascii="宋体" w:hAnsi="宋体" w:eastAsia="宋体" w:cs="宋体"/>
          <w:spacing w:val="2"/>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签字并盖章）</w:t>
      </w:r>
    </w:p>
    <w:p w14:paraId="5DFA28FF">
      <w:pPr>
        <w:pStyle w:val="11"/>
        <w:spacing w:line="415" w:lineRule="auto"/>
        <w:rPr>
          <w:lang w:eastAsia="zh-CN"/>
        </w:rPr>
      </w:pPr>
    </w:p>
    <w:p w14:paraId="6103ADC1">
      <w:pPr>
        <w:spacing w:before="79" w:line="219" w:lineRule="auto"/>
        <w:ind w:left="29"/>
        <w:rPr>
          <w:rFonts w:hint="eastAsia" w:ascii="宋体" w:hAnsi="宋体" w:eastAsia="宋体" w:cs="宋体"/>
          <w:sz w:val="24"/>
          <w:szCs w:val="24"/>
          <w:lang w:eastAsia="zh-CN"/>
        </w:rPr>
      </w:pPr>
      <w:r>
        <w:rPr>
          <w:rFonts w:ascii="宋体" w:hAnsi="宋体" w:eastAsia="宋体" w:cs="宋体"/>
          <w:spacing w:val="-3"/>
          <w:sz w:val="24"/>
          <w:szCs w:val="24"/>
          <w:lang w:eastAsia="zh-CN"/>
        </w:rPr>
        <w:t>身份证号码：</w:t>
      </w:r>
      <w:r>
        <w:rPr>
          <w:rFonts w:ascii="宋体" w:hAnsi="宋体" w:eastAsia="宋体" w:cs="宋体"/>
          <w:sz w:val="24"/>
          <w:szCs w:val="24"/>
          <w:u w:val="single"/>
          <w:lang w:eastAsia="zh-CN"/>
        </w:rPr>
        <w:t xml:space="preserve">                                     </w:t>
      </w:r>
    </w:p>
    <w:p w14:paraId="652DAD43">
      <w:pPr>
        <w:pStyle w:val="11"/>
        <w:spacing w:line="414" w:lineRule="auto"/>
        <w:rPr>
          <w:lang w:eastAsia="zh-CN"/>
        </w:rPr>
      </w:pPr>
    </w:p>
    <w:p w14:paraId="245CCF9D">
      <w:pPr>
        <w:spacing w:before="79" w:line="219" w:lineRule="auto"/>
        <w:ind w:left="22"/>
        <w:rPr>
          <w:rFonts w:hint="eastAsia" w:ascii="宋体" w:hAnsi="宋体" w:eastAsia="宋体" w:cs="宋体"/>
          <w:sz w:val="24"/>
          <w:szCs w:val="24"/>
          <w:lang w:eastAsia="zh-CN"/>
        </w:rPr>
      </w:pPr>
      <w:r>
        <w:rPr>
          <w:rFonts w:ascii="宋体" w:hAnsi="宋体" w:eastAsia="宋体" w:cs="宋体"/>
          <w:spacing w:val="3"/>
          <w:sz w:val="24"/>
          <w:szCs w:val="24"/>
          <w:lang w:eastAsia="zh-CN"/>
        </w:rPr>
        <w:t>委托代理人</w:t>
      </w:r>
      <w:r>
        <w:rPr>
          <w:rFonts w:ascii="宋体" w:hAnsi="宋体" w:eastAsia="宋体" w:cs="宋体"/>
          <w:spacing w:val="-17"/>
          <w:sz w:val="24"/>
          <w:szCs w:val="24"/>
          <w:lang w:eastAsia="zh-CN"/>
        </w:rPr>
        <w:t>：</w:t>
      </w:r>
      <w:r>
        <w:rPr>
          <w:rFonts w:ascii="宋体" w:hAnsi="宋体" w:eastAsia="宋体" w:cs="宋体"/>
          <w:sz w:val="24"/>
          <w:szCs w:val="24"/>
          <w:u w:val="single"/>
          <w:lang w:eastAsia="zh-CN"/>
        </w:rPr>
        <w:t xml:space="preserve">                                   </w:t>
      </w:r>
      <w:r>
        <w:rPr>
          <w:rFonts w:ascii="宋体" w:hAnsi="宋体" w:eastAsia="宋体" w:cs="宋体"/>
          <w:spacing w:val="-17"/>
          <w:sz w:val="24"/>
          <w:szCs w:val="24"/>
          <w:lang w:eastAsia="zh-CN"/>
        </w:rPr>
        <w:t>（</w:t>
      </w:r>
      <w:r>
        <w:rPr>
          <w:rFonts w:ascii="宋体" w:hAnsi="宋体" w:eastAsia="宋体" w:cs="宋体"/>
          <w:spacing w:val="3"/>
          <w:sz w:val="24"/>
          <w:szCs w:val="24"/>
          <w:lang w:eastAsia="zh-CN"/>
        </w:rPr>
        <w:t>签字）</w:t>
      </w:r>
    </w:p>
    <w:p w14:paraId="17957F92">
      <w:pPr>
        <w:pStyle w:val="11"/>
        <w:spacing w:line="414" w:lineRule="auto"/>
        <w:rPr>
          <w:lang w:eastAsia="zh-CN"/>
        </w:rPr>
      </w:pPr>
    </w:p>
    <w:p w14:paraId="5D4BCD18">
      <w:pPr>
        <w:spacing w:before="78" w:line="219" w:lineRule="auto"/>
        <w:ind w:left="29"/>
        <w:rPr>
          <w:rFonts w:hint="eastAsia" w:ascii="宋体" w:hAnsi="宋体" w:eastAsia="宋体" w:cs="宋体"/>
          <w:sz w:val="24"/>
          <w:szCs w:val="24"/>
          <w:lang w:eastAsia="zh-CN"/>
        </w:rPr>
      </w:pPr>
      <w:r>
        <w:rPr>
          <w:rFonts w:ascii="宋体" w:hAnsi="宋体" w:eastAsia="宋体" w:cs="宋体"/>
          <w:spacing w:val="-3"/>
          <w:sz w:val="24"/>
          <w:szCs w:val="24"/>
          <w:lang w:eastAsia="zh-CN"/>
        </w:rPr>
        <w:t>身份证号码：</w:t>
      </w:r>
      <w:r>
        <w:rPr>
          <w:rFonts w:ascii="宋体" w:hAnsi="宋体" w:eastAsia="宋体" w:cs="宋体"/>
          <w:sz w:val="24"/>
          <w:szCs w:val="24"/>
          <w:u w:val="single"/>
          <w:lang w:eastAsia="zh-CN"/>
        </w:rPr>
        <w:t xml:space="preserve">                                      </w:t>
      </w:r>
    </w:p>
    <w:p w14:paraId="4007EF61">
      <w:pPr>
        <w:pStyle w:val="11"/>
        <w:spacing w:line="267" w:lineRule="auto"/>
        <w:rPr>
          <w:lang w:eastAsia="zh-CN"/>
        </w:rPr>
      </w:pPr>
    </w:p>
    <w:p w14:paraId="0B773807">
      <w:pPr>
        <w:pStyle w:val="11"/>
        <w:spacing w:line="267" w:lineRule="auto"/>
        <w:rPr>
          <w:lang w:eastAsia="zh-CN"/>
        </w:rPr>
      </w:pPr>
    </w:p>
    <w:p w14:paraId="77AD2B92">
      <w:pPr>
        <w:pStyle w:val="11"/>
        <w:spacing w:line="267" w:lineRule="auto"/>
        <w:rPr>
          <w:lang w:eastAsia="zh-CN"/>
        </w:rPr>
      </w:pPr>
    </w:p>
    <w:p w14:paraId="496D87BC">
      <w:pPr>
        <w:tabs>
          <w:tab w:val="left" w:pos="3493"/>
        </w:tabs>
        <w:spacing w:before="78" w:line="219" w:lineRule="auto"/>
        <w:ind w:left="2654"/>
        <w:rPr>
          <w:rFonts w:hint="eastAsia" w:ascii="宋体" w:hAnsi="宋体" w:eastAsia="宋体" w:cs="宋体"/>
          <w:sz w:val="24"/>
          <w:szCs w:val="24"/>
          <w:lang w:eastAsia="zh-CN"/>
        </w:rPr>
      </w:pPr>
      <w:r>
        <w:rPr>
          <w:rFonts w:ascii="宋体" w:hAnsi="宋体" w:eastAsia="宋体" w:cs="宋体"/>
          <w:sz w:val="24"/>
          <w:szCs w:val="24"/>
          <w:u w:val="single"/>
          <w:lang w:eastAsia="zh-CN"/>
        </w:rPr>
        <w:tab/>
      </w:r>
      <w:r>
        <w:rPr>
          <w:rFonts w:ascii="宋体" w:hAnsi="宋体" w:eastAsia="宋体" w:cs="宋体"/>
          <w:spacing w:val="-110"/>
          <w:sz w:val="24"/>
          <w:szCs w:val="24"/>
          <w:lang w:eastAsia="zh-CN"/>
        </w:rPr>
        <w:t xml:space="preserve"> </w:t>
      </w:r>
      <w:r>
        <w:rPr>
          <w:rFonts w:ascii="宋体" w:hAnsi="宋体" w:eastAsia="宋体" w:cs="宋体"/>
          <w:spacing w:val="-9"/>
          <w:sz w:val="24"/>
          <w:szCs w:val="24"/>
          <w:lang w:eastAsia="zh-CN"/>
        </w:rPr>
        <w:t>年</w:t>
      </w:r>
      <w:r>
        <w:rPr>
          <w:rFonts w:ascii="宋体" w:hAnsi="宋体" w:eastAsia="宋体" w:cs="宋体"/>
          <w:sz w:val="24"/>
          <w:szCs w:val="24"/>
          <w:u w:val="single"/>
          <w:lang w:eastAsia="zh-CN"/>
        </w:rPr>
        <w:t xml:space="preserve">       </w:t>
      </w:r>
      <w:r>
        <w:rPr>
          <w:rFonts w:ascii="宋体" w:hAnsi="宋体" w:eastAsia="宋体" w:cs="宋体"/>
          <w:spacing w:val="-104"/>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z w:val="24"/>
          <w:szCs w:val="24"/>
          <w:u w:val="single"/>
          <w:lang w:eastAsia="zh-CN"/>
        </w:rPr>
        <w:t xml:space="preserve">       </w:t>
      </w:r>
      <w:r>
        <w:rPr>
          <w:rFonts w:ascii="宋体" w:hAnsi="宋体" w:eastAsia="宋体" w:cs="宋体"/>
          <w:spacing w:val="-70"/>
          <w:sz w:val="24"/>
          <w:szCs w:val="24"/>
          <w:lang w:eastAsia="zh-CN"/>
        </w:rPr>
        <w:t xml:space="preserve"> </w:t>
      </w:r>
      <w:r>
        <w:rPr>
          <w:rFonts w:ascii="宋体" w:hAnsi="宋体" w:eastAsia="宋体" w:cs="宋体"/>
          <w:spacing w:val="-9"/>
          <w:sz w:val="24"/>
          <w:szCs w:val="24"/>
          <w:lang w:eastAsia="zh-CN"/>
        </w:rPr>
        <w:t>日</w:t>
      </w:r>
    </w:p>
    <w:p w14:paraId="09FD0F57">
      <w:pPr>
        <w:spacing w:line="219" w:lineRule="auto"/>
        <w:rPr>
          <w:rFonts w:hint="eastAsia" w:ascii="宋体" w:hAnsi="宋体" w:eastAsia="宋体" w:cs="宋体"/>
          <w:sz w:val="24"/>
          <w:szCs w:val="24"/>
          <w:lang w:eastAsia="zh-CN"/>
        </w:rPr>
        <w:sectPr>
          <w:footerReference r:id="rId15" w:type="default"/>
          <w:pgSz w:w="11906" w:h="16839"/>
          <w:pgMar w:top="1431" w:right="1738" w:bottom="1156" w:left="1785" w:header="0" w:footer="994" w:gutter="0"/>
          <w:cols w:space="720" w:num="1"/>
        </w:sectPr>
      </w:pPr>
    </w:p>
    <w:p w14:paraId="78A0306A">
      <w:pPr>
        <w:spacing w:before="62" w:line="228" w:lineRule="auto"/>
        <w:ind w:left="119"/>
        <w:outlineLvl w:val="2"/>
        <w:rPr>
          <w:rFonts w:hint="eastAsia" w:ascii="宋体" w:hAnsi="宋体" w:eastAsia="宋体" w:cs="宋体"/>
          <w:sz w:val="19"/>
          <w:szCs w:val="19"/>
          <w:lang w:eastAsia="zh-CN"/>
        </w:rPr>
      </w:pPr>
      <w:r>
        <w:rPr>
          <w:rFonts w:ascii="宋体" w:hAnsi="宋体" w:eastAsia="宋体" w:cs="宋体"/>
          <w:b/>
          <w:bCs/>
          <w:spacing w:val="7"/>
          <w:sz w:val="19"/>
          <w:szCs w:val="19"/>
          <w:lang w:eastAsia="zh-CN"/>
        </w:rPr>
        <w:t>4、资格审查资料</w:t>
      </w:r>
    </w:p>
    <w:p w14:paraId="346E40A7">
      <w:pPr>
        <w:spacing w:before="293" w:line="219" w:lineRule="auto"/>
        <w:ind w:left="121"/>
        <w:rPr>
          <w:rFonts w:hint="eastAsia" w:ascii="宋体" w:hAnsi="宋体" w:eastAsia="宋体" w:cs="宋体"/>
          <w:sz w:val="24"/>
          <w:szCs w:val="24"/>
          <w:lang w:eastAsia="zh-CN"/>
        </w:rPr>
      </w:pPr>
      <w:r>
        <w:rPr>
          <w:rFonts w:ascii="宋体" w:hAnsi="宋体" w:eastAsia="宋体" w:cs="宋体"/>
          <w:spacing w:val="-2"/>
          <w:sz w:val="24"/>
          <w:szCs w:val="24"/>
          <w:lang w:eastAsia="zh-CN"/>
        </w:rPr>
        <w:t>4.1</w:t>
      </w:r>
      <w:r>
        <w:rPr>
          <w:rFonts w:ascii="宋体" w:hAnsi="宋体" w:eastAsia="宋体" w:cs="宋体"/>
          <w:spacing w:val="-38"/>
          <w:sz w:val="24"/>
          <w:szCs w:val="24"/>
          <w:lang w:eastAsia="zh-CN"/>
        </w:rPr>
        <w:t xml:space="preserve"> </w:t>
      </w:r>
      <w:r>
        <w:rPr>
          <w:rFonts w:ascii="宋体" w:hAnsi="宋体" w:eastAsia="宋体" w:cs="宋体"/>
          <w:spacing w:val="-2"/>
          <w:sz w:val="24"/>
          <w:szCs w:val="24"/>
          <w:lang w:eastAsia="zh-CN"/>
        </w:rPr>
        <w:t>承揽方基本情况及证书复印件</w:t>
      </w:r>
    </w:p>
    <w:p w14:paraId="04B3211C">
      <w:pPr>
        <w:spacing w:before="183" w:line="219" w:lineRule="auto"/>
        <w:ind w:left="3794"/>
        <w:rPr>
          <w:rFonts w:hint="eastAsia" w:ascii="宋体" w:hAnsi="宋体" w:eastAsia="宋体" w:cs="宋体"/>
          <w:sz w:val="24"/>
          <w:szCs w:val="24"/>
        </w:rPr>
      </w:pPr>
      <w:r>
        <w:rPr>
          <w:rFonts w:ascii="宋体" w:hAnsi="宋体" w:eastAsia="宋体" w:cs="宋体"/>
          <w:b/>
          <w:bCs/>
          <w:spacing w:val="-5"/>
          <w:sz w:val="24"/>
          <w:szCs w:val="24"/>
        </w:rPr>
        <w:t>基本情况</w:t>
      </w:r>
    </w:p>
    <w:p w14:paraId="6709EBDD">
      <w:pPr>
        <w:spacing w:line="68" w:lineRule="exact"/>
      </w:pPr>
    </w:p>
    <w:tbl>
      <w:tblPr>
        <w:tblStyle w:val="20"/>
        <w:tblW w:w="92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1416"/>
        <w:gridCol w:w="1096"/>
        <w:gridCol w:w="333"/>
        <w:gridCol w:w="1327"/>
        <w:gridCol w:w="1146"/>
        <w:gridCol w:w="187"/>
        <w:gridCol w:w="2151"/>
      </w:tblGrid>
      <w:tr w14:paraId="3EECE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564" w:type="dxa"/>
          </w:tcPr>
          <w:p w14:paraId="02AA5C13">
            <w:pPr>
              <w:pStyle w:val="21"/>
              <w:spacing w:before="120" w:line="219" w:lineRule="auto"/>
              <w:ind w:left="189"/>
              <w:rPr>
                <w:rFonts w:hint="eastAsia"/>
              </w:rPr>
            </w:pPr>
            <w:r>
              <w:rPr>
                <w:spacing w:val="-2"/>
              </w:rPr>
              <w:t>承揽方名称</w:t>
            </w:r>
          </w:p>
        </w:tc>
        <w:tc>
          <w:tcPr>
            <w:tcW w:w="7656" w:type="dxa"/>
            <w:gridSpan w:val="7"/>
          </w:tcPr>
          <w:p w14:paraId="5C9AEFC3"/>
        </w:tc>
      </w:tr>
      <w:tr w14:paraId="1FB90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564" w:type="dxa"/>
          </w:tcPr>
          <w:p w14:paraId="209EB39D">
            <w:pPr>
              <w:pStyle w:val="21"/>
              <w:spacing w:before="115" w:line="205" w:lineRule="auto"/>
              <w:ind w:left="430"/>
              <w:rPr>
                <w:rFonts w:hint="eastAsia"/>
              </w:rPr>
            </w:pPr>
            <w:r>
              <w:rPr>
                <w:spacing w:val="-4"/>
              </w:rPr>
              <w:t>制造商</w:t>
            </w:r>
          </w:p>
        </w:tc>
        <w:tc>
          <w:tcPr>
            <w:tcW w:w="2845" w:type="dxa"/>
            <w:gridSpan w:val="3"/>
          </w:tcPr>
          <w:p w14:paraId="035D4E7A"/>
        </w:tc>
        <w:tc>
          <w:tcPr>
            <w:tcW w:w="1327" w:type="dxa"/>
          </w:tcPr>
          <w:p w14:paraId="2D9859E4">
            <w:pPr>
              <w:pStyle w:val="21"/>
              <w:spacing w:before="115" w:line="205" w:lineRule="auto"/>
              <w:ind w:left="188"/>
              <w:rPr>
                <w:rFonts w:hint="eastAsia"/>
              </w:rPr>
            </w:pPr>
            <w:r>
              <w:rPr>
                <w:spacing w:val="-3"/>
              </w:rPr>
              <w:t>所属集团</w:t>
            </w:r>
          </w:p>
        </w:tc>
        <w:tc>
          <w:tcPr>
            <w:tcW w:w="3484" w:type="dxa"/>
            <w:gridSpan w:val="3"/>
          </w:tcPr>
          <w:p w14:paraId="48BD42D0"/>
        </w:tc>
      </w:tr>
      <w:tr w14:paraId="5549C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tcPr>
          <w:p w14:paraId="19640A7C">
            <w:pPr>
              <w:pStyle w:val="21"/>
              <w:spacing w:before="114" w:line="221" w:lineRule="auto"/>
              <w:ind w:left="309"/>
              <w:rPr>
                <w:rFonts w:hint="eastAsia"/>
              </w:rPr>
            </w:pPr>
            <w:r>
              <w:rPr>
                <w:spacing w:val="-3"/>
              </w:rPr>
              <w:t>注册地址</w:t>
            </w:r>
          </w:p>
        </w:tc>
        <w:tc>
          <w:tcPr>
            <w:tcW w:w="4172" w:type="dxa"/>
            <w:gridSpan w:val="4"/>
          </w:tcPr>
          <w:p w14:paraId="2DF30619"/>
        </w:tc>
        <w:tc>
          <w:tcPr>
            <w:tcW w:w="1146" w:type="dxa"/>
          </w:tcPr>
          <w:p w14:paraId="5F3DB8C2">
            <w:pPr>
              <w:pStyle w:val="21"/>
              <w:spacing w:before="115" w:line="219" w:lineRule="auto"/>
              <w:ind w:left="113"/>
              <w:rPr>
                <w:rFonts w:hint="eastAsia"/>
              </w:rPr>
            </w:pPr>
            <w:r>
              <w:rPr>
                <w:spacing w:val="-7"/>
              </w:rPr>
              <w:t>邮政编码</w:t>
            </w:r>
          </w:p>
        </w:tc>
        <w:tc>
          <w:tcPr>
            <w:tcW w:w="2338" w:type="dxa"/>
            <w:gridSpan w:val="2"/>
          </w:tcPr>
          <w:p w14:paraId="5DE5D5D9"/>
        </w:tc>
      </w:tr>
      <w:tr w14:paraId="33325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564" w:type="dxa"/>
          </w:tcPr>
          <w:p w14:paraId="0AF747E4">
            <w:pPr>
              <w:pStyle w:val="21"/>
              <w:spacing w:before="38" w:line="342" w:lineRule="auto"/>
              <w:ind w:left="309" w:right="299" w:firstLine="121"/>
              <w:rPr>
                <w:rFonts w:hint="eastAsia"/>
              </w:rPr>
            </w:pPr>
            <w:r>
              <w:rPr>
                <w:spacing w:val="-4"/>
              </w:rPr>
              <w:t>成立或</w:t>
            </w:r>
            <w:r>
              <w:t xml:space="preserve">  </w:t>
            </w:r>
            <w:r>
              <w:rPr>
                <w:spacing w:val="-3"/>
              </w:rPr>
              <w:t>注册时间</w:t>
            </w:r>
          </w:p>
        </w:tc>
        <w:tc>
          <w:tcPr>
            <w:tcW w:w="4172" w:type="dxa"/>
            <w:gridSpan w:val="4"/>
          </w:tcPr>
          <w:p w14:paraId="4B8DA8A1"/>
        </w:tc>
        <w:tc>
          <w:tcPr>
            <w:tcW w:w="1146" w:type="dxa"/>
          </w:tcPr>
          <w:p w14:paraId="148B082D">
            <w:pPr>
              <w:spacing w:line="267" w:lineRule="auto"/>
            </w:pPr>
          </w:p>
          <w:p w14:paraId="34C5581A">
            <w:pPr>
              <w:pStyle w:val="21"/>
              <w:spacing w:before="78" w:line="221" w:lineRule="auto"/>
              <w:ind w:left="95"/>
              <w:rPr>
                <w:rFonts w:hint="eastAsia"/>
              </w:rPr>
            </w:pPr>
            <w:r>
              <w:rPr>
                <w:spacing w:val="-3"/>
              </w:rPr>
              <w:t>注册资金</w:t>
            </w:r>
          </w:p>
        </w:tc>
        <w:tc>
          <w:tcPr>
            <w:tcW w:w="2338" w:type="dxa"/>
            <w:gridSpan w:val="2"/>
          </w:tcPr>
          <w:p w14:paraId="11D1A84D"/>
        </w:tc>
      </w:tr>
      <w:tr w14:paraId="0AF2F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tcPr>
          <w:p w14:paraId="2D42A00F">
            <w:pPr>
              <w:pStyle w:val="21"/>
              <w:spacing w:before="115" w:line="219" w:lineRule="auto"/>
              <w:ind w:left="191"/>
              <w:rPr>
                <w:rFonts w:hint="eastAsia"/>
              </w:rPr>
            </w:pPr>
            <w:r>
              <w:rPr>
                <w:spacing w:val="-3"/>
              </w:rPr>
              <w:t>主要负责人</w:t>
            </w:r>
          </w:p>
        </w:tc>
        <w:tc>
          <w:tcPr>
            <w:tcW w:w="4172" w:type="dxa"/>
            <w:gridSpan w:val="4"/>
          </w:tcPr>
          <w:p w14:paraId="70032F78"/>
        </w:tc>
        <w:tc>
          <w:tcPr>
            <w:tcW w:w="1146" w:type="dxa"/>
          </w:tcPr>
          <w:p w14:paraId="45410E7F">
            <w:pPr>
              <w:pStyle w:val="21"/>
              <w:spacing w:before="115" w:line="221" w:lineRule="auto"/>
              <w:ind w:left="363"/>
              <w:rPr>
                <w:rFonts w:hint="eastAsia"/>
              </w:rPr>
            </w:pPr>
            <w:r>
              <w:rPr>
                <w:spacing w:val="-19"/>
              </w:rPr>
              <w:t>电话</w:t>
            </w:r>
          </w:p>
        </w:tc>
        <w:tc>
          <w:tcPr>
            <w:tcW w:w="2338" w:type="dxa"/>
            <w:gridSpan w:val="2"/>
          </w:tcPr>
          <w:p w14:paraId="6BD5FA5F"/>
        </w:tc>
      </w:tr>
      <w:tr w14:paraId="4689C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vMerge w:val="restart"/>
            <w:tcBorders>
              <w:bottom w:val="nil"/>
            </w:tcBorders>
          </w:tcPr>
          <w:p w14:paraId="273B0ED1">
            <w:pPr>
              <w:spacing w:line="274" w:lineRule="auto"/>
            </w:pPr>
          </w:p>
          <w:p w14:paraId="1FB429B7">
            <w:pPr>
              <w:pStyle w:val="21"/>
              <w:spacing w:before="78" w:line="221" w:lineRule="auto"/>
              <w:ind w:left="310"/>
              <w:rPr>
                <w:rFonts w:hint="eastAsia"/>
              </w:rPr>
            </w:pPr>
            <w:r>
              <w:rPr>
                <w:spacing w:val="-3"/>
              </w:rPr>
              <w:t>联系方式</w:t>
            </w:r>
          </w:p>
        </w:tc>
        <w:tc>
          <w:tcPr>
            <w:tcW w:w="1416" w:type="dxa"/>
          </w:tcPr>
          <w:p w14:paraId="5DB11763">
            <w:pPr>
              <w:pStyle w:val="21"/>
              <w:spacing w:before="117" w:line="221" w:lineRule="auto"/>
              <w:ind w:left="354"/>
              <w:rPr>
                <w:rFonts w:hint="eastAsia"/>
              </w:rPr>
            </w:pPr>
            <w:r>
              <w:rPr>
                <w:spacing w:val="-4"/>
              </w:rPr>
              <w:t>联系人</w:t>
            </w:r>
          </w:p>
        </w:tc>
        <w:tc>
          <w:tcPr>
            <w:tcW w:w="2756" w:type="dxa"/>
            <w:gridSpan w:val="3"/>
          </w:tcPr>
          <w:p w14:paraId="6DDB1CDC"/>
        </w:tc>
        <w:tc>
          <w:tcPr>
            <w:tcW w:w="1146" w:type="dxa"/>
          </w:tcPr>
          <w:p w14:paraId="09EF1358">
            <w:pPr>
              <w:pStyle w:val="21"/>
              <w:spacing w:before="117" w:line="221" w:lineRule="auto"/>
              <w:ind w:left="363"/>
              <w:rPr>
                <w:rFonts w:hint="eastAsia"/>
              </w:rPr>
            </w:pPr>
            <w:r>
              <w:rPr>
                <w:spacing w:val="-19"/>
              </w:rPr>
              <w:t>电话</w:t>
            </w:r>
          </w:p>
        </w:tc>
        <w:tc>
          <w:tcPr>
            <w:tcW w:w="2338" w:type="dxa"/>
            <w:gridSpan w:val="2"/>
          </w:tcPr>
          <w:p w14:paraId="33C5CE58"/>
        </w:tc>
      </w:tr>
      <w:tr w14:paraId="5CD21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vMerge w:val="continue"/>
            <w:tcBorders>
              <w:top w:val="nil"/>
            </w:tcBorders>
          </w:tcPr>
          <w:p w14:paraId="2DF22CB3"/>
        </w:tc>
        <w:tc>
          <w:tcPr>
            <w:tcW w:w="1416" w:type="dxa"/>
          </w:tcPr>
          <w:p w14:paraId="3EA98A5F">
            <w:pPr>
              <w:pStyle w:val="21"/>
              <w:spacing w:before="115" w:line="219" w:lineRule="auto"/>
              <w:ind w:left="351"/>
              <w:rPr>
                <w:rFonts w:hint="eastAsia"/>
              </w:rPr>
            </w:pPr>
            <w:r>
              <w:rPr>
                <w:spacing w:val="-4"/>
              </w:rPr>
              <w:t>传</w:t>
            </w:r>
            <w:r>
              <w:rPr>
                <w:spacing w:val="6"/>
              </w:rPr>
              <w:t xml:space="preserve">  </w:t>
            </w:r>
            <w:r>
              <w:rPr>
                <w:spacing w:val="-4"/>
              </w:rPr>
              <w:t>真</w:t>
            </w:r>
          </w:p>
        </w:tc>
        <w:tc>
          <w:tcPr>
            <w:tcW w:w="2756" w:type="dxa"/>
            <w:gridSpan w:val="3"/>
          </w:tcPr>
          <w:p w14:paraId="092E32F6"/>
        </w:tc>
        <w:tc>
          <w:tcPr>
            <w:tcW w:w="1146" w:type="dxa"/>
          </w:tcPr>
          <w:p w14:paraId="4C65AFAE">
            <w:pPr>
              <w:pStyle w:val="21"/>
              <w:spacing w:before="116" w:line="220" w:lineRule="auto"/>
              <w:ind w:left="123"/>
              <w:rPr>
                <w:rFonts w:hint="eastAsia"/>
              </w:rPr>
            </w:pPr>
            <w:r>
              <w:rPr>
                <w:spacing w:val="-10"/>
              </w:rPr>
              <w:t>电子邮箱</w:t>
            </w:r>
          </w:p>
        </w:tc>
        <w:tc>
          <w:tcPr>
            <w:tcW w:w="2338" w:type="dxa"/>
            <w:gridSpan w:val="2"/>
          </w:tcPr>
          <w:p w14:paraId="74117568"/>
        </w:tc>
      </w:tr>
      <w:tr w14:paraId="0BDE5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vMerge w:val="restart"/>
            <w:tcBorders>
              <w:bottom w:val="nil"/>
            </w:tcBorders>
          </w:tcPr>
          <w:p w14:paraId="02BFF39C"/>
          <w:p w14:paraId="75C9927E">
            <w:pPr>
              <w:pStyle w:val="21"/>
              <w:spacing w:before="78" w:line="346" w:lineRule="auto"/>
              <w:ind w:right="299"/>
              <w:rPr>
                <w:rFonts w:hint="eastAsia"/>
                <w:spacing w:val="-3"/>
              </w:rPr>
            </w:pPr>
          </w:p>
          <w:p w14:paraId="35A8A9A1">
            <w:pPr>
              <w:pStyle w:val="21"/>
              <w:spacing w:before="78" w:line="346" w:lineRule="auto"/>
              <w:ind w:right="299"/>
              <w:rPr>
                <w:rFonts w:hint="eastAsia"/>
                <w:spacing w:val="-3"/>
              </w:rPr>
            </w:pPr>
          </w:p>
          <w:p w14:paraId="358D55AE">
            <w:pPr>
              <w:pStyle w:val="21"/>
              <w:spacing w:before="78" w:line="346" w:lineRule="auto"/>
              <w:ind w:right="299"/>
              <w:jc w:val="center"/>
              <w:rPr>
                <w:rFonts w:hint="eastAsia"/>
              </w:rPr>
            </w:pPr>
            <w:r>
              <w:rPr>
                <w:spacing w:val="-3"/>
              </w:rPr>
              <w:t>企业</w:t>
            </w:r>
          </w:p>
          <w:p w14:paraId="1804E62F">
            <w:pPr>
              <w:pStyle w:val="21"/>
              <w:spacing w:before="78" w:line="346" w:lineRule="auto"/>
              <w:ind w:right="299"/>
              <w:jc w:val="center"/>
              <w:rPr>
                <w:rFonts w:hint="eastAsia"/>
              </w:rPr>
            </w:pPr>
            <w:r>
              <w:rPr>
                <w:spacing w:val="-3"/>
              </w:rPr>
              <w:t>基本情况</w:t>
            </w:r>
          </w:p>
        </w:tc>
        <w:tc>
          <w:tcPr>
            <w:tcW w:w="1416" w:type="dxa"/>
          </w:tcPr>
          <w:p w14:paraId="0EFF5F10">
            <w:pPr>
              <w:pStyle w:val="21"/>
              <w:spacing w:before="116" w:line="221" w:lineRule="auto"/>
              <w:ind w:left="476"/>
              <w:rPr>
                <w:rFonts w:hint="eastAsia"/>
              </w:rPr>
            </w:pPr>
            <w:r>
              <w:rPr>
                <w:spacing w:val="-7"/>
              </w:rPr>
              <w:t>名称</w:t>
            </w:r>
          </w:p>
        </w:tc>
        <w:tc>
          <w:tcPr>
            <w:tcW w:w="2756" w:type="dxa"/>
            <w:gridSpan w:val="3"/>
          </w:tcPr>
          <w:p w14:paraId="75EE8EF3"/>
        </w:tc>
        <w:tc>
          <w:tcPr>
            <w:tcW w:w="1146" w:type="dxa"/>
          </w:tcPr>
          <w:p w14:paraId="5BEEEB93">
            <w:pPr>
              <w:pStyle w:val="21"/>
              <w:spacing w:before="115" w:line="229" w:lineRule="auto"/>
              <w:ind w:left="335"/>
              <w:rPr>
                <w:rFonts w:hint="eastAsia"/>
              </w:rPr>
            </w:pPr>
            <w:r>
              <w:rPr>
                <w:spacing w:val="-5"/>
              </w:rPr>
              <w:t>地址</w:t>
            </w:r>
          </w:p>
        </w:tc>
        <w:tc>
          <w:tcPr>
            <w:tcW w:w="2338" w:type="dxa"/>
            <w:gridSpan w:val="2"/>
          </w:tcPr>
          <w:p w14:paraId="77D0446F"/>
        </w:tc>
      </w:tr>
      <w:tr w14:paraId="6FF20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vMerge w:val="continue"/>
            <w:tcBorders>
              <w:top w:val="nil"/>
              <w:bottom w:val="nil"/>
            </w:tcBorders>
          </w:tcPr>
          <w:p w14:paraId="6B6DED94"/>
        </w:tc>
        <w:tc>
          <w:tcPr>
            <w:tcW w:w="1416" w:type="dxa"/>
          </w:tcPr>
          <w:p w14:paraId="734037E8">
            <w:pPr>
              <w:pStyle w:val="21"/>
              <w:spacing w:before="36" w:line="219" w:lineRule="auto"/>
              <w:ind w:left="114"/>
              <w:rPr>
                <w:rFonts w:hint="eastAsia"/>
              </w:rPr>
            </w:pPr>
            <w:r>
              <w:rPr>
                <w:spacing w:val="-3"/>
              </w:rPr>
              <w:t>年生产能力</w:t>
            </w:r>
          </w:p>
        </w:tc>
        <w:tc>
          <w:tcPr>
            <w:tcW w:w="2756" w:type="dxa"/>
            <w:gridSpan w:val="3"/>
          </w:tcPr>
          <w:p w14:paraId="01ADA3EA"/>
        </w:tc>
        <w:tc>
          <w:tcPr>
            <w:tcW w:w="1146" w:type="dxa"/>
          </w:tcPr>
          <w:p w14:paraId="7D75F962">
            <w:pPr>
              <w:pStyle w:val="21"/>
              <w:spacing w:before="115" w:line="219" w:lineRule="auto"/>
              <w:ind w:left="96"/>
              <w:rPr>
                <w:rFonts w:hint="eastAsia"/>
              </w:rPr>
            </w:pPr>
            <w:r>
              <w:rPr>
                <w:spacing w:val="-3"/>
              </w:rPr>
              <w:t>职工人数</w:t>
            </w:r>
          </w:p>
        </w:tc>
        <w:tc>
          <w:tcPr>
            <w:tcW w:w="2338" w:type="dxa"/>
            <w:gridSpan w:val="2"/>
          </w:tcPr>
          <w:p w14:paraId="31ED1958"/>
        </w:tc>
      </w:tr>
      <w:tr w14:paraId="1BF04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vMerge w:val="continue"/>
            <w:tcBorders>
              <w:top w:val="nil"/>
              <w:bottom w:val="nil"/>
            </w:tcBorders>
          </w:tcPr>
          <w:p w14:paraId="581BA722"/>
        </w:tc>
        <w:tc>
          <w:tcPr>
            <w:tcW w:w="1416" w:type="dxa"/>
            <w:vMerge w:val="restart"/>
            <w:tcBorders>
              <w:bottom w:val="nil"/>
            </w:tcBorders>
          </w:tcPr>
          <w:p w14:paraId="37E7A895">
            <w:pPr>
              <w:spacing w:line="280" w:lineRule="auto"/>
            </w:pPr>
          </w:p>
          <w:p w14:paraId="4D3B1ED1">
            <w:pPr>
              <w:pStyle w:val="21"/>
              <w:spacing w:before="78" w:line="347" w:lineRule="auto"/>
              <w:ind w:left="360" w:right="347" w:hanging="8"/>
              <w:rPr>
                <w:rFonts w:hint="eastAsia"/>
              </w:rPr>
            </w:pPr>
            <w:r>
              <w:rPr>
                <w:spacing w:val="-11"/>
              </w:rPr>
              <w:t>近</w:t>
            </w:r>
            <w:r>
              <w:rPr>
                <w:spacing w:val="-46"/>
              </w:rPr>
              <w:t xml:space="preserve"> </w:t>
            </w:r>
            <w:r>
              <w:rPr>
                <w:spacing w:val="-11"/>
              </w:rPr>
              <w:t>3</w:t>
            </w:r>
            <w:r>
              <w:rPr>
                <w:spacing w:val="-50"/>
              </w:rPr>
              <w:t xml:space="preserve"> </w:t>
            </w:r>
            <w:r>
              <w:rPr>
                <w:spacing w:val="-11"/>
              </w:rPr>
              <w:t>年</w:t>
            </w:r>
            <w:r>
              <w:t xml:space="preserve"> </w:t>
            </w:r>
            <w:r>
              <w:rPr>
                <w:spacing w:val="-6"/>
              </w:rPr>
              <w:t>营业额</w:t>
            </w:r>
          </w:p>
        </w:tc>
        <w:tc>
          <w:tcPr>
            <w:tcW w:w="1096" w:type="dxa"/>
          </w:tcPr>
          <w:p w14:paraId="701A04BA">
            <w:pPr>
              <w:pStyle w:val="21"/>
              <w:spacing w:before="116" w:line="219" w:lineRule="auto"/>
              <w:ind w:left="315"/>
              <w:rPr>
                <w:rFonts w:hint="eastAsia"/>
              </w:rPr>
            </w:pPr>
            <w:r>
              <w:rPr>
                <w:spacing w:val="-6"/>
              </w:rPr>
              <w:t>年份</w:t>
            </w:r>
          </w:p>
        </w:tc>
        <w:tc>
          <w:tcPr>
            <w:tcW w:w="1660" w:type="dxa"/>
            <w:gridSpan w:val="2"/>
          </w:tcPr>
          <w:p w14:paraId="31343461"/>
        </w:tc>
        <w:tc>
          <w:tcPr>
            <w:tcW w:w="1333" w:type="dxa"/>
            <w:gridSpan w:val="2"/>
          </w:tcPr>
          <w:p w14:paraId="3ACA3ACA">
            <w:pPr>
              <w:pStyle w:val="21"/>
              <w:spacing w:before="116" w:line="219" w:lineRule="auto"/>
              <w:ind w:left="435"/>
              <w:rPr>
                <w:rFonts w:hint="eastAsia"/>
              </w:rPr>
            </w:pPr>
            <w:r>
              <w:rPr>
                <w:spacing w:val="-6"/>
              </w:rPr>
              <w:t>金额</w:t>
            </w:r>
          </w:p>
        </w:tc>
        <w:tc>
          <w:tcPr>
            <w:tcW w:w="2151" w:type="dxa"/>
          </w:tcPr>
          <w:p w14:paraId="7B3E3125"/>
        </w:tc>
      </w:tr>
      <w:tr w14:paraId="5038A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564" w:type="dxa"/>
            <w:vMerge w:val="continue"/>
            <w:tcBorders>
              <w:top w:val="nil"/>
              <w:bottom w:val="nil"/>
            </w:tcBorders>
          </w:tcPr>
          <w:p w14:paraId="6C40DDCF"/>
        </w:tc>
        <w:tc>
          <w:tcPr>
            <w:tcW w:w="1416" w:type="dxa"/>
            <w:vMerge w:val="continue"/>
            <w:tcBorders>
              <w:top w:val="nil"/>
              <w:bottom w:val="nil"/>
            </w:tcBorders>
          </w:tcPr>
          <w:p w14:paraId="0F8A4962"/>
        </w:tc>
        <w:tc>
          <w:tcPr>
            <w:tcW w:w="1096" w:type="dxa"/>
          </w:tcPr>
          <w:p w14:paraId="472DFFC1">
            <w:pPr>
              <w:pStyle w:val="21"/>
              <w:spacing w:before="115" w:line="219" w:lineRule="auto"/>
              <w:ind w:left="315"/>
              <w:rPr>
                <w:rFonts w:hint="eastAsia"/>
              </w:rPr>
            </w:pPr>
            <w:r>
              <w:rPr>
                <w:spacing w:val="-6"/>
              </w:rPr>
              <w:t>年份</w:t>
            </w:r>
          </w:p>
        </w:tc>
        <w:tc>
          <w:tcPr>
            <w:tcW w:w="1660" w:type="dxa"/>
            <w:gridSpan w:val="2"/>
          </w:tcPr>
          <w:p w14:paraId="4AB97012"/>
        </w:tc>
        <w:tc>
          <w:tcPr>
            <w:tcW w:w="1333" w:type="dxa"/>
            <w:gridSpan w:val="2"/>
          </w:tcPr>
          <w:p w14:paraId="470D3E07">
            <w:pPr>
              <w:pStyle w:val="21"/>
              <w:spacing w:before="115" w:line="219" w:lineRule="auto"/>
              <w:ind w:left="435"/>
              <w:rPr>
                <w:rFonts w:hint="eastAsia"/>
              </w:rPr>
            </w:pPr>
            <w:r>
              <w:rPr>
                <w:spacing w:val="-6"/>
              </w:rPr>
              <w:t>金额</w:t>
            </w:r>
          </w:p>
        </w:tc>
        <w:tc>
          <w:tcPr>
            <w:tcW w:w="2151" w:type="dxa"/>
          </w:tcPr>
          <w:p w14:paraId="62116410"/>
        </w:tc>
      </w:tr>
      <w:tr w14:paraId="4A3CF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564" w:type="dxa"/>
            <w:vMerge w:val="continue"/>
            <w:tcBorders>
              <w:top w:val="nil"/>
              <w:bottom w:val="nil"/>
            </w:tcBorders>
          </w:tcPr>
          <w:p w14:paraId="291D15F5"/>
        </w:tc>
        <w:tc>
          <w:tcPr>
            <w:tcW w:w="1416" w:type="dxa"/>
            <w:vMerge w:val="continue"/>
            <w:tcBorders>
              <w:top w:val="nil"/>
            </w:tcBorders>
          </w:tcPr>
          <w:p w14:paraId="5BE02301"/>
        </w:tc>
        <w:tc>
          <w:tcPr>
            <w:tcW w:w="1096" w:type="dxa"/>
          </w:tcPr>
          <w:p w14:paraId="40ABD6BF">
            <w:pPr>
              <w:pStyle w:val="21"/>
              <w:spacing w:before="116" w:line="219" w:lineRule="auto"/>
              <w:ind w:left="315"/>
              <w:rPr>
                <w:rFonts w:hint="eastAsia"/>
              </w:rPr>
            </w:pPr>
            <w:r>
              <w:rPr>
                <w:spacing w:val="-6"/>
              </w:rPr>
              <w:t>年份</w:t>
            </w:r>
          </w:p>
        </w:tc>
        <w:tc>
          <w:tcPr>
            <w:tcW w:w="1660" w:type="dxa"/>
            <w:gridSpan w:val="2"/>
          </w:tcPr>
          <w:p w14:paraId="1B5A411E"/>
        </w:tc>
        <w:tc>
          <w:tcPr>
            <w:tcW w:w="1333" w:type="dxa"/>
            <w:gridSpan w:val="2"/>
          </w:tcPr>
          <w:p w14:paraId="7080ECAB">
            <w:pPr>
              <w:pStyle w:val="21"/>
              <w:spacing w:before="116" w:line="219" w:lineRule="auto"/>
              <w:ind w:left="435"/>
              <w:rPr>
                <w:rFonts w:hint="eastAsia"/>
              </w:rPr>
            </w:pPr>
            <w:r>
              <w:rPr>
                <w:spacing w:val="-6"/>
              </w:rPr>
              <w:t>金额</w:t>
            </w:r>
          </w:p>
        </w:tc>
        <w:tc>
          <w:tcPr>
            <w:tcW w:w="2151" w:type="dxa"/>
          </w:tcPr>
          <w:p w14:paraId="1D0454FC"/>
        </w:tc>
      </w:tr>
      <w:tr w14:paraId="47A3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5" w:hRule="atLeast"/>
        </w:trPr>
        <w:tc>
          <w:tcPr>
            <w:tcW w:w="1564" w:type="dxa"/>
            <w:vMerge w:val="continue"/>
            <w:tcBorders>
              <w:top w:val="nil"/>
            </w:tcBorders>
          </w:tcPr>
          <w:p w14:paraId="041E34E5"/>
        </w:tc>
        <w:tc>
          <w:tcPr>
            <w:tcW w:w="7656" w:type="dxa"/>
            <w:gridSpan w:val="7"/>
          </w:tcPr>
          <w:p w14:paraId="15DFD962">
            <w:pPr>
              <w:pStyle w:val="21"/>
              <w:spacing w:before="118" w:line="220" w:lineRule="auto"/>
              <w:ind w:left="115"/>
              <w:rPr>
                <w:rFonts w:hint="eastAsia"/>
              </w:rPr>
            </w:pPr>
            <w:r>
              <w:rPr>
                <w:spacing w:val="-3"/>
              </w:rPr>
              <w:t>经营范围：</w:t>
            </w:r>
          </w:p>
        </w:tc>
      </w:tr>
    </w:tbl>
    <w:p w14:paraId="5FE11870">
      <w:pPr>
        <w:spacing w:before="115" w:line="219" w:lineRule="auto"/>
        <w:ind w:left="602"/>
        <w:rPr>
          <w:rFonts w:hint="eastAsia" w:ascii="宋体" w:hAnsi="宋体" w:eastAsia="宋体" w:cs="宋体"/>
          <w:sz w:val="24"/>
          <w:szCs w:val="24"/>
          <w:lang w:eastAsia="zh-CN"/>
        </w:rPr>
      </w:pPr>
      <w:r>
        <w:rPr>
          <w:rFonts w:ascii="宋体" w:hAnsi="宋体" w:eastAsia="宋体" w:cs="宋体"/>
          <w:spacing w:val="-1"/>
          <w:sz w:val="24"/>
          <w:szCs w:val="24"/>
          <w:lang w:eastAsia="zh-CN"/>
        </w:rPr>
        <w:t>注：本表可增加并扩展。</w:t>
      </w:r>
    </w:p>
    <w:p w14:paraId="59737593">
      <w:pPr>
        <w:spacing w:before="185" w:line="346" w:lineRule="auto"/>
        <w:ind w:left="122" w:right="806" w:firstLine="498"/>
        <w:rPr>
          <w:rFonts w:hint="eastAsia" w:ascii="宋体" w:hAnsi="宋体" w:eastAsia="宋体" w:cs="宋体"/>
          <w:sz w:val="24"/>
          <w:szCs w:val="24"/>
          <w:lang w:eastAsia="zh-CN"/>
        </w:rPr>
      </w:pPr>
      <w:r>
        <w:rPr>
          <w:rFonts w:ascii="宋体" w:hAnsi="宋体" w:eastAsia="宋体" w:cs="宋体"/>
          <w:spacing w:val="-4"/>
          <w:sz w:val="24"/>
          <w:szCs w:val="24"/>
          <w:lang w:eastAsia="zh-CN"/>
        </w:rPr>
        <w:t>附：包括但不限于：营业执照、资质证书、体系认证、资信等级、人员资格</w:t>
      </w:r>
      <w:r>
        <w:rPr>
          <w:rFonts w:ascii="宋体" w:hAnsi="宋体" w:eastAsia="宋体" w:cs="宋体"/>
          <w:spacing w:val="9"/>
          <w:sz w:val="24"/>
          <w:szCs w:val="24"/>
          <w:lang w:eastAsia="zh-CN"/>
        </w:rPr>
        <w:t xml:space="preserve"> </w:t>
      </w:r>
      <w:r>
        <w:rPr>
          <w:rFonts w:ascii="宋体" w:hAnsi="宋体" w:eastAsia="宋体" w:cs="宋体"/>
          <w:spacing w:val="-1"/>
          <w:sz w:val="24"/>
          <w:szCs w:val="24"/>
          <w:lang w:eastAsia="zh-CN"/>
        </w:rPr>
        <w:t>证书、业绩合同、获奖证书等的复印件，加盖公章。</w:t>
      </w:r>
    </w:p>
    <w:p w14:paraId="3D727007">
      <w:pPr>
        <w:spacing w:line="346" w:lineRule="auto"/>
        <w:rPr>
          <w:rFonts w:hint="eastAsia" w:ascii="宋体" w:hAnsi="宋体" w:eastAsia="宋体" w:cs="宋体"/>
          <w:sz w:val="24"/>
          <w:szCs w:val="24"/>
          <w:lang w:eastAsia="zh-CN"/>
        </w:rPr>
        <w:sectPr>
          <w:footerReference r:id="rId16" w:type="default"/>
          <w:pgSz w:w="11906" w:h="16839"/>
          <w:pgMar w:top="1431" w:right="993" w:bottom="1156" w:left="1687" w:header="0" w:footer="994" w:gutter="0"/>
          <w:cols w:space="720" w:num="1"/>
        </w:sectPr>
      </w:pPr>
    </w:p>
    <w:p w14:paraId="6A409E66">
      <w:pPr>
        <w:pStyle w:val="11"/>
        <w:spacing w:line="474" w:lineRule="auto"/>
        <w:rPr>
          <w:lang w:eastAsia="zh-CN"/>
        </w:rPr>
      </w:pPr>
    </w:p>
    <w:p w14:paraId="4C09916F">
      <w:pPr>
        <w:spacing w:before="78" w:line="219" w:lineRule="auto"/>
        <w:ind w:left="121"/>
        <w:rPr>
          <w:rFonts w:hint="eastAsia" w:ascii="宋体" w:hAnsi="宋体" w:eastAsia="宋体" w:cs="宋体"/>
          <w:sz w:val="24"/>
          <w:szCs w:val="24"/>
          <w:lang w:eastAsia="zh-CN"/>
        </w:rPr>
      </w:pPr>
      <w:r>
        <w:rPr>
          <w:rFonts w:ascii="宋体" w:hAnsi="宋体" w:eastAsia="宋体" w:cs="宋体"/>
          <w:spacing w:val="-2"/>
          <w:sz w:val="24"/>
          <w:szCs w:val="24"/>
          <w:lang w:eastAsia="zh-CN"/>
        </w:rPr>
        <w:t>4.2</w:t>
      </w:r>
      <w:r>
        <w:rPr>
          <w:rFonts w:ascii="宋体" w:hAnsi="宋体" w:eastAsia="宋体" w:cs="宋体"/>
          <w:spacing w:val="-40"/>
          <w:sz w:val="24"/>
          <w:szCs w:val="24"/>
          <w:lang w:eastAsia="zh-CN"/>
        </w:rPr>
        <w:t xml:space="preserve"> </w:t>
      </w:r>
      <w:r>
        <w:rPr>
          <w:rFonts w:ascii="宋体" w:hAnsi="宋体" w:eastAsia="宋体" w:cs="宋体"/>
          <w:spacing w:val="-2"/>
          <w:sz w:val="24"/>
          <w:szCs w:val="24"/>
          <w:lang w:eastAsia="zh-CN"/>
        </w:rPr>
        <w:t>符合资格条件的业绩汇总表</w:t>
      </w:r>
    </w:p>
    <w:p w14:paraId="261D3C1F">
      <w:pPr>
        <w:spacing w:line="68" w:lineRule="exact"/>
        <w:rPr>
          <w:lang w:eastAsia="zh-CN"/>
        </w:rPr>
      </w:pPr>
    </w:p>
    <w:tbl>
      <w:tblPr>
        <w:tblStyle w:val="20"/>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3"/>
        <w:gridCol w:w="1114"/>
        <w:gridCol w:w="1417"/>
        <w:gridCol w:w="1417"/>
        <w:gridCol w:w="1843"/>
        <w:gridCol w:w="2389"/>
      </w:tblGrid>
      <w:tr w14:paraId="09537277">
        <w:tblPrEx>
          <w:tblCellMar>
            <w:top w:w="0" w:type="dxa"/>
            <w:left w:w="0" w:type="dxa"/>
            <w:bottom w:w="0" w:type="dxa"/>
            <w:right w:w="0" w:type="dxa"/>
          </w:tblCellMar>
        </w:tblPrEx>
        <w:trPr>
          <w:trHeight w:val="945" w:hRule="atLeast"/>
        </w:trPr>
        <w:tc>
          <w:tcPr>
            <w:tcW w:w="411" w:type="pct"/>
          </w:tcPr>
          <w:p w14:paraId="4A984136">
            <w:pPr>
              <w:spacing w:line="273" w:lineRule="auto"/>
              <w:rPr>
                <w:lang w:eastAsia="zh-CN"/>
              </w:rPr>
            </w:pPr>
          </w:p>
          <w:p w14:paraId="4E0A8730">
            <w:pPr>
              <w:pStyle w:val="21"/>
              <w:spacing w:before="78" w:line="221" w:lineRule="auto"/>
              <w:ind w:left="183"/>
              <w:rPr>
                <w:rFonts w:hint="eastAsia"/>
              </w:rPr>
            </w:pPr>
            <w:r>
              <w:rPr>
                <w:spacing w:val="-5"/>
              </w:rPr>
              <w:t>序号</w:t>
            </w:r>
          </w:p>
        </w:tc>
        <w:tc>
          <w:tcPr>
            <w:tcW w:w="625" w:type="pct"/>
          </w:tcPr>
          <w:p w14:paraId="04F11CB9">
            <w:pPr>
              <w:spacing w:line="274" w:lineRule="auto"/>
            </w:pPr>
          </w:p>
          <w:p w14:paraId="30E7A858">
            <w:pPr>
              <w:pStyle w:val="21"/>
              <w:spacing w:before="78" w:line="220" w:lineRule="auto"/>
              <w:rPr>
                <w:rFonts w:hint="eastAsia"/>
              </w:rPr>
            </w:pPr>
            <w:r>
              <w:rPr>
                <w:spacing w:val="-3"/>
              </w:rPr>
              <w:t>项目业主名称</w:t>
            </w:r>
          </w:p>
        </w:tc>
        <w:tc>
          <w:tcPr>
            <w:tcW w:w="795" w:type="pct"/>
          </w:tcPr>
          <w:p w14:paraId="42320838">
            <w:pPr>
              <w:spacing w:line="274" w:lineRule="auto"/>
            </w:pPr>
          </w:p>
          <w:p w14:paraId="1472146E">
            <w:pPr>
              <w:pStyle w:val="21"/>
              <w:spacing w:before="78" w:line="219" w:lineRule="auto"/>
              <w:rPr>
                <w:rFonts w:hint="eastAsia"/>
                <w:lang w:eastAsia="zh-CN"/>
              </w:rPr>
            </w:pPr>
            <w:r>
              <w:rPr>
                <w:rFonts w:hint="eastAsia"/>
                <w:spacing w:val="-3"/>
                <w:lang w:eastAsia="zh-CN"/>
              </w:rPr>
              <w:t>合同名称</w:t>
            </w:r>
          </w:p>
        </w:tc>
        <w:tc>
          <w:tcPr>
            <w:tcW w:w="795" w:type="pct"/>
          </w:tcPr>
          <w:p w14:paraId="77866965">
            <w:pPr>
              <w:pStyle w:val="21"/>
              <w:spacing w:before="118" w:line="314" w:lineRule="auto"/>
              <w:ind w:left="296" w:right="295" w:firstLine="110"/>
              <w:rPr>
                <w:rFonts w:hint="eastAsia"/>
              </w:rPr>
            </w:pPr>
            <w:r>
              <w:rPr>
                <w:spacing w:val="-6"/>
              </w:rPr>
              <w:t>数量</w:t>
            </w:r>
            <w:r>
              <w:t xml:space="preserve"> </w:t>
            </w:r>
            <w:r>
              <w:rPr>
                <w:spacing w:val="-14"/>
              </w:rPr>
              <w:t>（台）</w:t>
            </w:r>
          </w:p>
        </w:tc>
        <w:tc>
          <w:tcPr>
            <w:tcW w:w="1034" w:type="pct"/>
          </w:tcPr>
          <w:p w14:paraId="7A8632B0">
            <w:pPr>
              <w:pStyle w:val="21"/>
              <w:spacing w:before="118" w:line="314" w:lineRule="auto"/>
              <w:ind w:left="388" w:right="371" w:hanging="11"/>
              <w:rPr>
                <w:rFonts w:hint="eastAsia"/>
              </w:rPr>
            </w:pPr>
            <w:r>
              <w:rPr>
                <w:spacing w:val="-3"/>
              </w:rPr>
              <w:t>签订日期</w:t>
            </w:r>
            <w:r>
              <w:rPr>
                <w:spacing w:val="1"/>
              </w:rPr>
              <w:t xml:space="preserve"> </w:t>
            </w:r>
            <w:r>
              <w:rPr>
                <w:spacing w:val="-6"/>
              </w:rPr>
              <w:t>（年月）</w:t>
            </w:r>
          </w:p>
        </w:tc>
        <w:tc>
          <w:tcPr>
            <w:tcW w:w="1340" w:type="pct"/>
          </w:tcPr>
          <w:p w14:paraId="1F83F02F">
            <w:pPr>
              <w:pStyle w:val="21"/>
              <w:spacing w:before="118" w:line="314" w:lineRule="auto"/>
              <w:ind w:left="388" w:right="371" w:hanging="11"/>
              <w:rPr>
                <w:rFonts w:hint="eastAsia"/>
                <w:spacing w:val="-3"/>
              </w:rPr>
            </w:pPr>
            <w:r>
              <w:rPr>
                <w:rFonts w:hint="eastAsia"/>
                <w:spacing w:val="-3"/>
                <w:lang w:eastAsia="zh-CN"/>
              </w:rPr>
              <w:t>合同金额</w:t>
            </w:r>
          </w:p>
        </w:tc>
      </w:tr>
      <w:tr w14:paraId="12733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411" w:type="pct"/>
          </w:tcPr>
          <w:p w14:paraId="615B01B1">
            <w:pPr>
              <w:spacing w:line="361" w:lineRule="auto"/>
            </w:pPr>
          </w:p>
          <w:p w14:paraId="7B5CC18F">
            <w:pPr>
              <w:pStyle w:val="21"/>
              <w:spacing w:before="78" w:line="184" w:lineRule="auto"/>
              <w:ind w:left="382"/>
              <w:rPr>
                <w:rFonts w:hint="eastAsia"/>
              </w:rPr>
            </w:pPr>
            <w:r>
              <w:t>1</w:t>
            </w:r>
          </w:p>
        </w:tc>
        <w:tc>
          <w:tcPr>
            <w:tcW w:w="625" w:type="pct"/>
          </w:tcPr>
          <w:p w14:paraId="307A781F"/>
        </w:tc>
        <w:tc>
          <w:tcPr>
            <w:tcW w:w="795" w:type="pct"/>
          </w:tcPr>
          <w:p w14:paraId="655F09C3"/>
        </w:tc>
        <w:tc>
          <w:tcPr>
            <w:tcW w:w="795" w:type="pct"/>
          </w:tcPr>
          <w:p w14:paraId="0A066924"/>
        </w:tc>
        <w:tc>
          <w:tcPr>
            <w:tcW w:w="1034" w:type="pct"/>
          </w:tcPr>
          <w:p w14:paraId="32FC41C0"/>
        </w:tc>
        <w:tc>
          <w:tcPr>
            <w:tcW w:w="1340" w:type="pct"/>
          </w:tcPr>
          <w:p w14:paraId="19F27EBD"/>
        </w:tc>
      </w:tr>
      <w:tr w14:paraId="6C04F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411" w:type="pct"/>
          </w:tcPr>
          <w:p w14:paraId="69ABE13E">
            <w:pPr>
              <w:spacing w:line="362" w:lineRule="auto"/>
            </w:pPr>
          </w:p>
          <w:p w14:paraId="01ECEABC">
            <w:pPr>
              <w:pStyle w:val="21"/>
              <w:spacing w:before="78" w:line="183" w:lineRule="auto"/>
              <w:ind w:left="367"/>
              <w:rPr>
                <w:rFonts w:hint="eastAsia"/>
              </w:rPr>
            </w:pPr>
            <w:r>
              <w:t>2</w:t>
            </w:r>
          </w:p>
        </w:tc>
        <w:tc>
          <w:tcPr>
            <w:tcW w:w="625" w:type="pct"/>
          </w:tcPr>
          <w:p w14:paraId="78F5CE4A"/>
        </w:tc>
        <w:tc>
          <w:tcPr>
            <w:tcW w:w="795" w:type="pct"/>
          </w:tcPr>
          <w:p w14:paraId="08F7DC3B"/>
        </w:tc>
        <w:tc>
          <w:tcPr>
            <w:tcW w:w="795" w:type="pct"/>
          </w:tcPr>
          <w:p w14:paraId="27C88AD8"/>
        </w:tc>
        <w:tc>
          <w:tcPr>
            <w:tcW w:w="1034" w:type="pct"/>
          </w:tcPr>
          <w:p w14:paraId="538337EA"/>
        </w:tc>
        <w:tc>
          <w:tcPr>
            <w:tcW w:w="1340" w:type="pct"/>
          </w:tcPr>
          <w:p w14:paraId="781A2E74"/>
        </w:tc>
      </w:tr>
      <w:tr w14:paraId="208CB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411" w:type="pct"/>
          </w:tcPr>
          <w:p w14:paraId="1553EC17">
            <w:pPr>
              <w:spacing w:line="362" w:lineRule="auto"/>
            </w:pPr>
          </w:p>
          <w:p w14:paraId="4F94EA39">
            <w:pPr>
              <w:pStyle w:val="21"/>
              <w:spacing w:before="78" w:line="183" w:lineRule="auto"/>
              <w:ind w:left="369"/>
              <w:rPr>
                <w:rFonts w:hint="eastAsia"/>
              </w:rPr>
            </w:pPr>
            <w:r>
              <w:t>3</w:t>
            </w:r>
          </w:p>
        </w:tc>
        <w:tc>
          <w:tcPr>
            <w:tcW w:w="625" w:type="pct"/>
          </w:tcPr>
          <w:p w14:paraId="1EEA6B92"/>
        </w:tc>
        <w:tc>
          <w:tcPr>
            <w:tcW w:w="795" w:type="pct"/>
          </w:tcPr>
          <w:p w14:paraId="222D71DE"/>
        </w:tc>
        <w:tc>
          <w:tcPr>
            <w:tcW w:w="795" w:type="pct"/>
          </w:tcPr>
          <w:p w14:paraId="44762378"/>
        </w:tc>
        <w:tc>
          <w:tcPr>
            <w:tcW w:w="1034" w:type="pct"/>
          </w:tcPr>
          <w:p w14:paraId="033B99ED"/>
        </w:tc>
        <w:tc>
          <w:tcPr>
            <w:tcW w:w="1340" w:type="pct"/>
          </w:tcPr>
          <w:p w14:paraId="68848D1D"/>
        </w:tc>
      </w:tr>
      <w:tr w14:paraId="6C868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411" w:type="pct"/>
          </w:tcPr>
          <w:p w14:paraId="51973759">
            <w:pPr>
              <w:spacing w:line="327" w:lineRule="auto"/>
            </w:pPr>
          </w:p>
          <w:p w14:paraId="31332D45">
            <w:pPr>
              <w:pStyle w:val="21"/>
              <w:spacing w:before="78" w:line="377" w:lineRule="exact"/>
              <w:ind w:left="199"/>
              <w:rPr>
                <w:rFonts w:hint="eastAsia"/>
              </w:rPr>
            </w:pPr>
            <w:r>
              <w:rPr>
                <w:spacing w:val="-13"/>
                <w:position w:val="3"/>
              </w:rPr>
              <w:t>……</w:t>
            </w:r>
          </w:p>
        </w:tc>
        <w:tc>
          <w:tcPr>
            <w:tcW w:w="625" w:type="pct"/>
          </w:tcPr>
          <w:p w14:paraId="135C850A"/>
        </w:tc>
        <w:tc>
          <w:tcPr>
            <w:tcW w:w="795" w:type="pct"/>
          </w:tcPr>
          <w:p w14:paraId="5F68835C"/>
        </w:tc>
        <w:tc>
          <w:tcPr>
            <w:tcW w:w="795" w:type="pct"/>
          </w:tcPr>
          <w:p w14:paraId="47843923"/>
        </w:tc>
        <w:tc>
          <w:tcPr>
            <w:tcW w:w="1034" w:type="pct"/>
          </w:tcPr>
          <w:p w14:paraId="3690CFF4"/>
        </w:tc>
        <w:tc>
          <w:tcPr>
            <w:tcW w:w="1340" w:type="pct"/>
          </w:tcPr>
          <w:p w14:paraId="1E92E0CC"/>
        </w:tc>
      </w:tr>
    </w:tbl>
    <w:p w14:paraId="010703DF">
      <w:pPr>
        <w:pStyle w:val="11"/>
        <w:spacing w:line="250" w:lineRule="auto"/>
      </w:pPr>
    </w:p>
    <w:p w14:paraId="052C35F1">
      <w:pPr>
        <w:pStyle w:val="11"/>
        <w:spacing w:line="251" w:lineRule="auto"/>
      </w:pPr>
    </w:p>
    <w:p w14:paraId="0C1E0D50">
      <w:pPr>
        <w:spacing w:before="78" w:line="219" w:lineRule="auto"/>
        <w:ind w:left="602"/>
        <w:rPr>
          <w:rFonts w:hint="eastAsia" w:ascii="宋体" w:hAnsi="宋体" w:eastAsia="宋体" w:cs="宋体"/>
          <w:sz w:val="24"/>
          <w:szCs w:val="24"/>
          <w:lang w:eastAsia="zh-CN"/>
        </w:rPr>
      </w:pPr>
      <w:r>
        <w:rPr>
          <w:rFonts w:ascii="宋体" w:hAnsi="宋体" w:eastAsia="宋体" w:cs="宋体"/>
          <w:spacing w:val="-1"/>
          <w:sz w:val="24"/>
          <w:szCs w:val="24"/>
          <w:lang w:eastAsia="zh-CN"/>
        </w:rPr>
        <w:t>注：1、表格可扩展、修改并增加内容。</w:t>
      </w:r>
    </w:p>
    <w:p w14:paraId="77F15BDB">
      <w:pPr>
        <w:spacing w:before="78" w:line="219" w:lineRule="auto"/>
        <w:ind w:left="602" w:firstLine="476" w:firstLineChars="200"/>
        <w:rPr>
          <w:rFonts w:hint="eastAsia" w:ascii="宋体" w:hAnsi="宋体" w:eastAsia="宋体" w:cs="宋体"/>
          <w:spacing w:val="-1"/>
          <w:sz w:val="24"/>
          <w:szCs w:val="24"/>
          <w:lang w:eastAsia="zh-CN"/>
        </w:rPr>
      </w:pPr>
      <w:r>
        <w:rPr>
          <w:rFonts w:ascii="宋体" w:hAnsi="宋体" w:eastAsia="宋体" w:cs="宋体"/>
          <w:spacing w:val="-1"/>
          <w:sz w:val="24"/>
          <w:szCs w:val="24"/>
          <w:lang w:eastAsia="zh-CN"/>
        </w:rPr>
        <w:t>2、附原合同</w:t>
      </w:r>
      <w:r>
        <w:rPr>
          <w:rFonts w:hint="eastAsia" w:ascii="宋体" w:hAnsi="宋体" w:eastAsia="宋体" w:cs="宋体"/>
          <w:spacing w:val="-1"/>
          <w:sz w:val="24"/>
          <w:szCs w:val="24"/>
          <w:lang w:eastAsia="zh-CN"/>
        </w:rPr>
        <w:t>扫描件，中标通知书</w:t>
      </w:r>
      <w:r>
        <w:rPr>
          <w:rFonts w:ascii="宋体" w:hAnsi="宋体" w:eastAsia="宋体" w:cs="宋体"/>
          <w:spacing w:val="-1"/>
          <w:sz w:val="24"/>
          <w:szCs w:val="24"/>
          <w:lang w:eastAsia="zh-CN"/>
        </w:rPr>
        <w:t>。</w:t>
      </w:r>
    </w:p>
    <w:p w14:paraId="015DDE6C">
      <w:pPr>
        <w:spacing w:before="78" w:line="219" w:lineRule="auto"/>
        <w:ind w:left="602"/>
        <w:rPr>
          <w:rFonts w:hint="eastAsia" w:ascii="宋体" w:hAnsi="宋体" w:eastAsia="宋体" w:cs="宋体"/>
          <w:spacing w:val="-1"/>
          <w:sz w:val="24"/>
          <w:szCs w:val="24"/>
          <w:lang w:eastAsia="zh-CN"/>
        </w:rPr>
      </w:pPr>
    </w:p>
    <w:p w14:paraId="092A96A7">
      <w:pPr>
        <w:pStyle w:val="11"/>
        <w:spacing w:line="321" w:lineRule="auto"/>
        <w:rPr>
          <w:lang w:eastAsia="zh-CN"/>
        </w:rPr>
      </w:pPr>
    </w:p>
    <w:p w14:paraId="41E227BC">
      <w:pPr>
        <w:spacing w:before="79" w:line="219" w:lineRule="auto"/>
        <w:ind w:left="4322"/>
        <w:rPr>
          <w:rFonts w:hint="eastAsia" w:ascii="宋体" w:hAnsi="宋体" w:eastAsia="宋体" w:cs="宋体"/>
          <w:sz w:val="24"/>
          <w:szCs w:val="24"/>
          <w:lang w:eastAsia="zh-CN"/>
        </w:rPr>
      </w:pPr>
      <w:r>
        <w:rPr>
          <w:rFonts w:ascii="宋体" w:hAnsi="宋体" w:eastAsia="宋体" w:cs="宋体"/>
          <w:spacing w:val="3"/>
          <w:sz w:val="24"/>
          <w:szCs w:val="24"/>
          <w:lang w:eastAsia="zh-CN"/>
        </w:rPr>
        <w:t>承揽方</w:t>
      </w:r>
      <w:r>
        <w:rPr>
          <w:rFonts w:ascii="宋体" w:hAnsi="宋体" w:eastAsia="宋体" w:cs="宋体"/>
          <w:spacing w:val="-18"/>
          <w:sz w:val="24"/>
          <w:szCs w:val="24"/>
          <w:lang w:eastAsia="zh-CN"/>
        </w:rPr>
        <w:t>：（</w:t>
      </w:r>
      <w:r>
        <w:rPr>
          <w:rFonts w:ascii="宋体" w:hAnsi="宋体" w:eastAsia="宋体" w:cs="宋体"/>
          <w:spacing w:val="3"/>
          <w:sz w:val="24"/>
          <w:szCs w:val="24"/>
          <w:lang w:eastAsia="zh-CN"/>
        </w:rPr>
        <w:t>盖单位章）</w:t>
      </w:r>
    </w:p>
    <w:p w14:paraId="1C1B3CF1">
      <w:pPr>
        <w:spacing w:before="184" w:line="219" w:lineRule="auto"/>
        <w:ind w:left="4323"/>
        <w:rPr>
          <w:rFonts w:hint="eastAsia" w:ascii="宋体" w:hAnsi="宋体" w:eastAsia="宋体" w:cs="宋体"/>
          <w:sz w:val="24"/>
          <w:szCs w:val="24"/>
          <w:lang w:eastAsia="zh-CN"/>
        </w:rPr>
      </w:pPr>
      <w:r>
        <w:rPr>
          <w:rFonts w:ascii="宋体" w:hAnsi="宋体" w:eastAsia="宋体" w:cs="宋体"/>
          <w:spacing w:val="1"/>
          <w:sz w:val="24"/>
          <w:szCs w:val="24"/>
          <w:lang w:eastAsia="zh-CN"/>
        </w:rPr>
        <w:t>法定代表人或其委托代理人</w:t>
      </w:r>
      <w:r>
        <w:rPr>
          <w:rFonts w:ascii="宋体" w:hAnsi="宋体" w:eastAsia="宋体" w:cs="宋体"/>
          <w:spacing w:val="-14"/>
          <w:sz w:val="24"/>
          <w:szCs w:val="24"/>
          <w:lang w:eastAsia="zh-CN"/>
        </w:rPr>
        <w:t>：（</w:t>
      </w:r>
      <w:r>
        <w:rPr>
          <w:rFonts w:ascii="宋体" w:hAnsi="宋体" w:eastAsia="宋体" w:cs="宋体"/>
          <w:spacing w:val="1"/>
          <w:sz w:val="24"/>
          <w:szCs w:val="24"/>
          <w:lang w:eastAsia="zh-CN"/>
        </w:rPr>
        <w:t>签字）</w:t>
      </w:r>
    </w:p>
    <w:p w14:paraId="5BFD990E">
      <w:pPr>
        <w:spacing w:before="184" w:line="219" w:lineRule="auto"/>
        <w:ind w:left="4323"/>
        <w:outlineLvl w:val="2"/>
        <w:rPr>
          <w:rFonts w:hint="eastAsia" w:ascii="宋体" w:hAnsi="宋体" w:eastAsia="宋体" w:cs="宋体"/>
          <w:sz w:val="24"/>
          <w:szCs w:val="24"/>
          <w:lang w:eastAsia="zh-CN"/>
        </w:rPr>
      </w:pPr>
      <w:r>
        <w:rPr>
          <w:rFonts w:ascii="宋体" w:hAnsi="宋体" w:eastAsia="宋体" w:cs="宋体"/>
          <w:spacing w:val="-4"/>
          <w:sz w:val="24"/>
          <w:szCs w:val="24"/>
          <w:lang w:eastAsia="zh-CN"/>
        </w:rPr>
        <w:t>年月日</w:t>
      </w:r>
    </w:p>
    <w:p w14:paraId="2AE58E12">
      <w:pPr>
        <w:spacing w:line="219" w:lineRule="auto"/>
        <w:rPr>
          <w:rFonts w:hint="eastAsia" w:ascii="宋体" w:hAnsi="宋体" w:eastAsia="宋体" w:cs="宋体"/>
          <w:sz w:val="24"/>
          <w:szCs w:val="24"/>
          <w:lang w:eastAsia="zh-CN"/>
        </w:rPr>
        <w:sectPr>
          <w:footerReference r:id="rId17" w:type="default"/>
          <w:pgSz w:w="11906" w:h="16839"/>
          <w:pgMar w:top="1431" w:right="1312" w:bottom="1156" w:left="1687" w:header="0" w:footer="994" w:gutter="0"/>
          <w:cols w:space="720" w:num="1"/>
        </w:sectPr>
      </w:pPr>
    </w:p>
    <w:p w14:paraId="4388162A">
      <w:pPr>
        <w:spacing w:before="143" w:line="227" w:lineRule="auto"/>
        <w:ind w:left="124"/>
        <w:rPr>
          <w:rFonts w:hint="eastAsia" w:ascii="宋体" w:hAnsi="宋体" w:eastAsia="宋体" w:cs="宋体"/>
          <w:sz w:val="19"/>
          <w:szCs w:val="19"/>
          <w:lang w:eastAsia="zh-CN"/>
        </w:rPr>
      </w:pPr>
      <w:r>
        <w:rPr>
          <w:rFonts w:ascii="宋体" w:hAnsi="宋体" w:eastAsia="宋体" w:cs="宋体"/>
          <w:spacing w:val="2"/>
          <w:sz w:val="19"/>
          <w:szCs w:val="19"/>
          <w:lang w:eastAsia="zh-CN"/>
        </w:rPr>
        <w:t>5</w:t>
      </w:r>
      <w:r>
        <w:rPr>
          <w:rFonts w:ascii="宋体" w:hAnsi="宋体" w:eastAsia="宋体" w:cs="宋体"/>
          <w:spacing w:val="-53"/>
          <w:sz w:val="19"/>
          <w:szCs w:val="19"/>
          <w:lang w:eastAsia="zh-CN"/>
        </w:rPr>
        <w:t xml:space="preserve"> </w:t>
      </w:r>
      <w:r>
        <w:rPr>
          <w:rFonts w:ascii="宋体" w:hAnsi="宋体" w:eastAsia="宋体" w:cs="宋体"/>
          <w:spacing w:val="2"/>
          <w:sz w:val="19"/>
          <w:szCs w:val="19"/>
          <w:lang w:eastAsia="zh-CN"/>
        </w:rPr>
        <w:t>、报价表</w:t>
      </w:r>
    </w:p>
    <w:p w14:paraId="56C729FD">
      <w:pPr>
        <w:spacing w:before="295" w:line="218" w:lineRule="auto"/>
        <w:ind w:left="126"/>
        <w:rPr>
          <w:rFonts w:hint="eastAsia" w:ascii="宋体" w:hAnsi="宋体" w:eastAsia="宋体" w:cs="宋体"/>
          <w:sz w:val="24"/>
          <w:szCs w:val="24"/>
          <w:lang w:eastAsia="zh-CN"/>
        </w:rPr>
      </w:pPr>
      <w:r>
        <w:rPr>
          <w:rFonts w:ascii="宋体" w:hAnsi="宋体" w:eastAsia="宋体" w:cs="宋体"/>
          <w:b/>
          <w:bCs/>
          <w:spacing w:val="-5"/>
          <w:sz w:val="24"/>
          <w:szCs w:val="24"/>
          <w:lang w:eastAsia="zh-CN"/>
        </w:rPr>
        <w:t>5.1</w:t>
      </w:r>
      <w:r>
        <w:rPr>
          <w:rFonts w:ascii="宋体" w:hAnsi="宋体" w:eastAsia="宋体" w:cs="宋体"/>
          <w:spacing w:val="-51"/>
          <w:sz w:val="24"/>
          <w:szCs w:val="24"/>
          <w:lang w:eastAsia="zh-CN"/>
        </w:rPr>
        <w:t xml:space="preserve"> </w:t>
      </w:r>
      <w:r>
        <w:rPr>
          <w:rFonts w:ascii="宋体" w:hAnsi="宋体" w:eastAsia="宋体" w:cs="宋体"/>
          <w:b/>
          <w:bCs/>
          <w:spacing w:val="-5"/>
          <w:sz w:val="24"/>
          <w:szCs w:val="24"/>
          <w:lang w:eastAsia="zh-CN"/>
        </w:rPr>
        <w:t>报价说明：</w:t>
      </w:r>
    </w:p>
    <w:p w14:paraId="516BC78E">
      <w:pPr>
        <w:spacing w:before="184" w:line="218" w:lineRule="auto"/>
        <w:ind w:left="613"/>
        <w:rPr>
          <w:rFonts w:hint="eastAsia" w:ascii="宋体" w:hAnsi="宋体" w:eastAsia="宋体" w:cs="宋体"/>
          <w:spacing w:val="-1"/>
          <w:sz w:val="28"/>
          <w:szCs w:val="28"/>
          <w:lang w:eastAsia="zh-CN"/>
        </w:rPr>
      </w:pPr>
      <w:r>
        <w:rPr>
          <w:rFonts w:ascii="宋体" w:hAnsi="宋体" w:eastAsia="宋体" w:cs="宋体"/>
          <w:spacing w:val="-1"/>
          <w:sz w:val="28"/>
          <w:szCs w:val="28"/>
          <w:lang w:eastAsia="zh-CN"/>
        </w:rPr>
        <w:t>（1）报价表应按本</w:t>
      </w:r>
      <w:r>
        <w:rPr>
          <w:rFonts w:hint="eastAsia" w:ascii="宋体" w:hAnsi="宋体" w:eastAsia="宋体" w:cs="宋体"/>
          <w:spacing w:val="-1"/>
          <w:sz w:val="28"/>
          <w:szCs w:val="28"/>
          <w:lang w:eastAsia="zh-CN"/>
        </w:rPr>
        <w:t>采购</w:t>
      </w:r>
      <w:r>
        <w:rPr>
          <w:rFonts w:ascii="宋体" w:hAnsi="宋体" w:eastAsia="宋体" w:cs="宋体"/>
          <w:spacing w:val="-1"/>
          <w:sz w:val="28"/>
          <w:szCs w:val="28"/>
          <w:lang w:eastAsia="zh-CN"/>
        </w:rPr>
        <w:t>文件规定的格式填写。</w:t>
      </w:r>
    </w:p>
    <w:p w14:paraId="7FD6A48F">
      <w:pPr>
        <w:spacing w:before="184" w:line="218" w:lineRule="auto"/>
        <w:ind w:left="613"/>
        <w:rPr>
          <w:rFonts w:hint="eastAsia" w:ascii="宋体" w:hAnsi="宋体" w:eastAsia="宋体" w:cs="宋体"/>
          <w:spacing w:val="-2"/>
          <w:sz w:val="28"/>
          <w:szCs w:val="28"/>
          <w:lang w:eastAsia="zh-CN"/>
        </w:rPr>
      </w:pPr>
      <w:r>
        <w:rPr>
          <w:rFonts w:ascii="宋体" w:hAnsi="宋体" w:eastAsia="宋体" w:cs="宋体"/>
          <w:spacing w:val="-2"/>
          <w:sz w:val="28"/>
          <w:szCs w:val="28"/>
          <w:lang w:eastAsia="zh-CN"/>
        </w:rPr>
        <w:t>（2）报价币种为人民币。</w:t>
      </w:r>
    </w:p>
    <w:p w14:paraId="45DF5FC7">
      <w:pPr>
        <w:spacing w:before="184" w:line="218" w:lineRule="auto"/>
        <w:ind w:left="613"/>
        <w:rPr>
          <w:rFonts w:hint="eastAsia" w:ascii="宋体" w:hAnsi="宋体" w:eastAsia="宋体" w:cs="宋体"/>
          <w:spacing w:val="-1"/>
          <w:sz w:val="28"/>
          <w:szCs w:val="28"/>
          <w:lang w:eastAsia="zh-CN"/>
        </w:rPr>
      </w:pPr>
      <w:r>
        <w:rPr>
          <w:rFonts w:ascii="宋体" w:hAnsi="宋体" w:eastAsia="宋体" w:cs="宋体"/>
          <w:spacing w:val="-1"/>
          <w:sz w:val="28"/>
          <w:szCs w:val="28"/>
          <w:lang w:eastAsia="zh-CN"/>
        </w:rPr>
        <w:t>（3）如果按单价计算的结果与总价不一致，以单价为准修正总价。</w:t>
      </w:r>
    </w:p>
    <w:p w14:paraId="74152EBD">
      <w:pPr>
        <w:spacing w:before="184" w:line="218" w:lineRule="auto"/>
        <w:ind w:left="613"/>
        <w:rPr>
          <w:rFonts w:hint="eastAsia" w:ascii="宋体" w:hAnsi="宋体" w:eastAsia="宋体" w:cs="宋体"/>
          <w:spacing w:val="-4"/>
          <w:sz w:val="28"/>
          <w:szCs w:val="28"/>
          <w:lang w:eastAsia="zh-CN"/>
        </w:rPr>
      </w:pPr>
      <w:r>
        <w:rPr>
          <w:rFonts w:ascii="宋体" w:hAnsi="宋体" w:eastAsia="宋体" w:cs="宋体"/>
          <w:spacing w:val="-1"/>
          <w:sz w:val="28"/>
          <w:szCs w:val="28"/>
          <w:lang w:eastAsia="zh-CN"/>
        </w:rPr>
        <w:t>（4）报价清单中有计算或汇总中的算术错误时，将按</w:t>
      </w:r>
      <w:r>
        <w:rPr>
          <w:rFonts w:hint="eastAsia" w:ascii="宋体" w:hAnsi="宋体" w:eastAsia="宋体" w:cs="宋体"/>
          <w:spacing w:val="-1"/>
          <w:sz w:val="28"/>
          <w:szCs w:val="28"/>
          <w:lang w:eastAsia="zh-CN"/>
        </w:rPr>
        <w:t>谈判</w:t>
      </w:r>
      <w:r>
        <w:rPr>
          <w:rFonts w:ascii="宋体" w:hAnsi="宋体" w:eastAsia="宋体" w:cs="宋体"/>
          <w:spacing w:val="-1"/>
          <w:sz w:val="28"/>
          <w:szCs w:val="28"/>
          <w:lang w:eastAsia="zh-CN"/>
        </w:rPr>
        <w:t>须知中有关规定</w:t>
      </w:r>
      <w:r>
        <w:rPr>
          <w:rFonts w:ascii="宋体" w:hAnsi="宋体" w:eastAsia="宋体" w:cs="宋体"/>
          <w:spacing w:val="11"/>
          <w:sz w:val="28"/>
          <w:szCs w:val="28"/>
          <w:lang w:eastAsia="zh-CN"/>
        </w:rPr>
        <w:t xml:space="preserve"> </w:t>
      </w:r>
      <w:r>
        <w:rPr>
          <w:rFonts w:ascii="宋体" w:hAnsi="宋体" w:eastAsia="宋体" w:cs="宋体"/>
          <w:spacing w:val="-4"/>
          <w:sz w:val="28"/>
          <w:szCs w:val="28"/>
          <w:lang w:eastAsia="zh-CN"/>
        </w:rPr>
        <w:t>执行。</w:t>
      </w:r>
    </w:p>
    <w:p w14:paraId="3341CB7C">
      <w:pPr>
        <w:spacing w:before="184" w:line="218" w:lineRule="auto"/>
        <w:ind w:left="613"/>
        <w:rPr>
          <w:rFonts w:hint="eastAsia" w:ascii="宋体" w:hAnsi="宋体" w:eastAsia="宋体" w:cs="宋体"/>
          <w:color w:val="auto"/>
          <w:spacing w:val="-1"/>
          <w:sz w:val="28"/>
          <w:szCs w:val="28"/>
          <w:lang w:eastAsia="zh-CN"/>
        </w:rPr>
      </w:pPr>
      <w:r>
        <w:rPr>
          <w:rFonts w:ascii="宋体" w:hAnsi="宋体" w:eastAsia="宋体" w:cs="宋体"/>
          <w:color w:val="auto"/>
          <w:spacing w:val="-1"/>
          <w:sz w:val="28"/>
          <w:szCs w:val="28"/>
          <w:lang w:eastAsia="zh-CN"/>
        </w:rPr>
        <w:t>（5）报价说明：本投标人的报价已包括了实施和完成服务所需的劳务费、技术服务费、交通、通讯、办公场地、管理费、税费和利润等费用和政策性文件规定及合同包含的所有风险、责任等各项应有的费用。</w:t>
      </w:r>
    </w:p>
    <w:p w14:paraId="46CAA7D6">
      <w:pPr>
        <w:spacing w:before="184" w:line="218" w:lineRule="auto"/>
        <w:ind w:left="613"/>
        <w:rPr>
          <w:rFonts w:hint="eastAsia" w:ascii="宋体" w:hAnsi="宋体" w:eastAsia="宋体" w:cs="宋体"/>
          <w:color w:val="auto"/>
          <w:spacing w:val="-1"/>
          <w:sz w:val="28"/>
          <w:szCs w:val="28"/>
          <w:lang w:eastAsia="zh-CN"/>
        </w:rPr>
      </w:pPr>
      <w:r>
        <w:rPr>
          <w:rFonts w:ascii="宋体" w:hAnsi="宋体" w:eastAsia="宋体" w:cs="宋体"/>
          <w:spacing w:val="-1"/>
          <w:sz w:val="28"/>
          <w:szCs w:val="28"/>
          <w:lang w:eastAsia="zh-CN"/>
        </w:rPr>
        <w:t>（</w:t>
      </w:r>
      <w:r>
        <w:rPr>
          <w:rFonts w:ascii="宋体" w:hAnsi="宋体" w:eastAsia="宋体" w:cs="宋体"/>
          <w:color w:val="auto"/>
          <w:spacing w:val="-1"/>
          <w:sz w:val="28"/>
          <w:szCs w:val="28"/>
          <w:lang w:eastAsia="zh-CN"/>
        </w:rPr>
        <w:t>6）报价为含增值税专用发票价格（以人民币报价的方式）。</w:t>
      </w:r>
    </w:p>
    <w:p w14:paraId="72DB0B7C">
      <w:pPr>
        <w:spacing w:before="184" w:line="218" w:lineRule="auto"/>
        <w:ind w:left="613"/>
        <w:rPr>
          <w:rFonts w:hint="eastAsia" w:ascii="宋体" w:hAnsi="宋体" w:eastAsia="宋体" w:cs="宋体"/>
          <w:color w:val="auto"/>
          <w:spacing w:val="-1"/>
          <w:sz w:val="28"/>
          <w:szCs w:val="28"/>
          <w:lang w:eastAsia="zh-CN"/>
        </w:rPr>
      </w:pPr>
      <w:r>
        <w:rPr>
          <w:rFonts w:hint="eastAsia" w:ascii="宋体" w:hAnsi="宋体" w:eastAsia="宋体" w:cs="宋体"/>
          <w:color w:val="auto"/>
          <w:spacing w:val="-1"/>
          <w:sz w:val="28"/>
          <w:szCs w:val="28"/>
          <w:lang w:eastAsia="zh-CN"/>
        </w:rPr>
        <w:t>（7）</w:t>
      </w:r>
      <w:r>
        <w:rPr>
          <w:rFonts w:ascii="宋体" w:hAnsi="宋体" w:eastAsia="宋体" w:cs="宋体"/>
          <w:color w:val="auto"/>
          <w:spacing w:val="-1"/>
          <w:sz w:val="28"/>
          <w:szCs w:val="28"/>
          <w:lang w:eastAsia="zh-CN"/>
        </w:rPr>
        <w:t>同一项目同一</w:t>
      </w:r>
      <w:r>
        <w:rPr>
          <w:rFonts w:hint="eastAsia" w:ascii="宋体" w:hAnsi="宋体" w:eastAsia="宋体" w:cs="宋体"/>
          <w:color w:val="auto"/>
          <w:spacing w:val="-1"/>
          <w:sz w:val="28"/>
          <w:szCs w:val="28"/>
          <w:lang w:eastAsia="zh-CN"/>
        </w:rPr>
        <w:t>阶段</w:t>
      </w:r>
      <w:r>
        <w:rPr>
          <w:rFonts w:ascii="宋体" w:hAnsi="宋体" w:eastAsia="宋体" w:cs="宋体"/>
          <w:color w:val="auto"/>
          <w:spacing w:val="-1"/>
          <w:sz w:val="28"/>
          <w:szCs w:val="28"/>
          <w:lang w:eastAsia="zh-CN"/>
        </w:rPr>
        <w:t>成果只计</w:t>
      </w:r>
      <w:r>
        <w:rPr>
          <w:rFonts w:hint="eastAsia" w:ascii="宋体" w:hAnsi="宋体" w:eastAsia="宋体" w:cs="宋体"/>
          <w:color w:val="auto"/>
          <w:spacing w:val="-1"/>
          <w:sz w:val="28"/>
          <w:szCs w:val="28"/>
          <w:lang w:eastAsia="zh-CN"/>
        </w:rPr>
        <w:t>费</w:t>
      </w:r>
      <w:r>
        <w:rPr>
          <w:rFonts w:ascii="宋体" w:hAnsi="宋体" w:eastAsia="宋体" w:cs="宋体"/>
          <w:color w:val="auto"/>
          <w:spacing w:val="-1"/>
          <w:sz w:val="28"/>
          <w:szCs w:val="28"/>
          <w:lang w:eastAsia="zh-CN"/>
        </w:rPr>
        <w:t>一次</w:t>
      </w:r>
      <w:r>
        <w:rPr>
          <w:rFonts w:hint="eastAsia" w:ascii="宋体" w:hAnsi="宋体" w:eastAsia="宋体" w:cs="宋体"/>
          <w:color w:val="auto"/>
          <w:spacing w:val="-1"/>
          <w:sz w:val="28"/>
          <w:szCs w:val="28"/>
          <w:lang w:eastAsia="zh-CN"/>
        </w:rPr>
        <w:t>。</w:t>
      </w:r>
    </w:p>
    <w:p w14:paraId="553BD3E5">
      <w:pPr>
        <w:spacing w:before="184" w:line="218" w:lineRule="auto"/>
        <w:ind w:left="613"/>
        <w:rPr>
          <w:rFonts w:hint="eastAsia" w:ascii="宋体" w:hAnsi="宋体" w:eastAsia="宋体" w:cs="宋体"/>
          <w:color w:val="auto"/>
          <w:spacing w:val="-1"/>
          <w:sz w:val="28"/>
          <w:szCs w:val="28"/>
          <w:lang w:eastAsia="zh-CN"/>
        </w:rPr>
      </w:pPr>
      <w:r>
        <w:rPr>
          <w:rFonts w:hint="eastAsia" w:ascii="宋体" w:hAnsi="宋体" w:eastAsia="宋体" w:cs="宋体"/>
          <w:color w:val="auto"/>
          <w:spacing w:val="-1"/>
          <w:sz w:val="28"/>
          <w:szCs w:val="28"/>
          <w:lang w:eastAsia="zh-CN"/>
        </w:rPr>
        <w:br w:type="page"/>
      </w:r>
    </w:p>
    <w:p w14:paraId="3E52D772">
      <w:pPr>
        <w:spacing w:before="184" w:line="218" w:lineRule="auto"/>
        <w:ind w:left="613"/>
        <w:rPr>
          <w:rFonts w:hint="eastAsia" w:ascii="宋体" w:hAnsi="宋体" w:eastAsia="宋体" w:cs="宋体"/>
          <w:color w:val="auto"/>
          <w:spacing w:val="-1"/>
          <w:sz w:val="28"/>
          <w:szCs w:val="28"/>
          <w:lang w:eastAsia="zh-CN"/>
        </w:rPr>
      </w:pPr>
    </w:p>
    <w:p w14:paraId="02F8848D">
      <w:pPr>
        <w:spacing w:before="78" w:line="218" w:lineRule="auto"/>
        <w:ind w:left="126"/>
        <w:rPr>
          <w:rFonts w:hint="eastAsia" w:ascii="宋体" w:hAnsi="宋体" w:eastAsia="宋体" w:cs="宋体"/>
          <w:b/>
          <w:bCs/>
          <w:spacing w:val="-6"/>
          <w:sz w:val="24"/>
          <w:szCs w:val="24"/>
          <w:lang w:eastAsia="zh-CN"/>
        </w:rPr>
      </w:pPr>
      <w:r>
        <w:rPr>
          <w:rFonts w:ascii="宋体" w:hAnsi="宋体" w:eastAsia="宋体" w:cs="宋体"/>
          <w:b/>
          <w:bCs/>
          <w:spacing w:val="-6"/>
          <w:sz w:val="24"/>
          <w:szCs w:val="24"/>
        </w:rPr>
        <w:t>5.2</w:t>
      </w:r>
      <w:r>
        <w:rPr>
          <w:rFonts w:ascii="宋体" w:hAnsi="宋体" w:eastAsia="宋体" w:cs="宋体"/>
          <w:spacing w:val="-50"/>
          <w:sz w:val="24"/>
          <w:szCs w:val="24"/>
        </w:rPr>
        <w:t xml:space="preserve"> </w:t>
      </w:r>
      <w:r>
        <w:rPr>
          <w:rFonts w:ascii="宋体" w:hAnsi="宋体" w:eastAsia="宋体" w:cs="宋体"/>
          <w:b/>
          <w:bCs/>
          <w:spacing w:val="-6"/>
          <w:sz w:val="24"/>
          <w:szCs w:val="24"/>
        </w:rPr>
        <w:t>报价表</w:t>
      </w:r>
    </w:p>
    <w:tbl>
      <w:tblPr>
        <w:tblStyle w:val="14"/>
        <w:tblW w:w="96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560"/>
        <w:gridCol w:w="1842"/>
        <w:gridCol w:w="1276"/>
        <w:gridCol w:w="1276"/>
        <w:gridCol w:w="850"/>
        <w:gridCol w:w="991"/>
      </w:tblGrid>
      <w:tr w14:paraId="601D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6AA1351">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服务阶段</w:t>
            </w:r>
          </w:p>
        </w:tc>
        <w:tc>
          <w:tcPr>
            <w:tcW w:w="1560" w:type="dxa"/>
            <w:vAlign w:val="center"/>
          </w:tcPr>
          <w:p w14:paraId="15B3BA15">
            <w:pPr>
              <w:widowControl w:val="0"/>
              <w:kinsoku/>
              <w:autoSpaceDE/>
              <w:autoSpaceDN/>
              <w:adjustRightInd/>
              <w:snapToGrid/>
              <w:spacing w:before="100" w:beforeAutospacing="1" w:after="100" w:afterAutospacing="1" w:line="360" w:lineRule="auto"/>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服务范围</w:t>
            </w:r>
          </w:p>
        </w:tc>
        <w:tc>
          <w:tcPr>
            <w:tcW w:w="1842" w:type="dxa"/>
            <w:vAlign w:val="center"/>
          </w:tcPr>
          <w:p w14:paraId="2AF67F30">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工作内容</w:t>
            </w:r>
          </w:p>
        </w:tc>
        <w:tc>
          <w:tcPr>
            <w:tcW w:w="1276" w:type="dxa"/>
          </w:tcPr>
          <w:p w14:paraId="603D6EC5">
            <w:pPr>
              <w:widowControl w:val="0"/>
              <w:kinsoku/>
              <w:autoSpaceDE/>
              <w:autoSpaceDN/>
              <w:adjustRightInd/>
              <w:snapToGrid/>
              <w:spacing w:before="100" w:beforeAutospacing="1" w:after="100" w:afterAutospacing="1" w:line="360" w:lineRule="auto"/>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收费基数及报价基数</w:t>
            </w:r>
          </w:p>
        </w:tc>
        <w:tc>
          <w:tcPr>
            <w:tcW w:w="1276" w:type="dxa"/>
          </w:tcPr>
          <w:p w14:paraId="2FCF6178">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收费标准（</w:t>
            </w:r>
            <w:r>
              <w:rPr>
                <w:rFonts w:hint="eastAsia" w:ascii="Times New Roman" w:hAnsi="Times New Roman" w:eastAsia="宋体" w:cs="Times New Roman"/>
                <w:snapToGrid/>
                <w:color w:val="auto"/>
                <w:lang w:eastAsia="zh-CN"/>
              </w:rPr>
              <w:t>按照项目审定额</w:t>
            </w:r>
            <w:r>
              <w:rPr>
                <w:rFonts w:ascii="Times New Roman" w:hAnsi="Times New Roman" w:eastAsia="宋体" w:cs="Times New Roman"/>
                <w:snapToGrid/>
                <w:color w:val="auto"/>
                <w:lang w:eastAsia="zh-CN"/>
              </w:rPr>
              <w:t>比例）</w:t>
            </w:r>
          </w:p>
        </w:tc>
        <w:tc>
          <w:tcPr>
            <w:tcW w:w="850" w:type="dxa"/>
          </w:tcPr>
          <w:p w14:paraId="41DB13A2">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报价合计（万元）</w:t>
            </w:r>
          </w:p>
        </w:tc>
        <w:tc>
          <w:tcPr>
            <w:tcW w:w="991" w:type="dxa"/>
          </w:tcPr>
          <w:p w14:paraId="17A99748">
            <w:pPr>
              <w:widowControl w:val="0"/>
              <w:kinsoku/>
              <w:autoSpaceDE/>
              <w:autoSpaceDN/>
              <w:adjustRightInd/>
              <w:snapToGrid/>
              <w:spacing w:before="100" w:beforeAutospacing="1" w:after="100" w:afterAutospacing="1" w:line="360" w:lineRule="auto"/>
              <w:jc w:val="center"/>
              <w:textAlignment w:val="auto"/>
              <w:rPr>
                <w:rFonts w:ascii="Times New Roman" w:hAnsi="Times New Roman" w:eastAsia="宋体" w:cs="Times New Roman"/>
                <w:snapToGrid/>
                <w:color w:val="auto"/>
                <w:lang w:eastAsia="zh-CN"/>
              </w:rPr>
            </w:pPr>
            <w:r>
              <w:rPr>
                <w:rFonts w:ascii="Times New Roman" w:hAnsi="Times New Roman" w:eastAsia="宋体" w:cs="Times New Roman"/>
                <w:snapToGrid/>
                <w:color w:val="auto"/>
                <w:lang w:eastAsia="zh-CN"/>
              </w:rPr>
              <w:t>备注</w:t>
            </w:r>
          </w:p>
        </w:tc>
      </w:tr>
      <w:tr w14:paraId="0ECE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restart"/>
            <w:vAlign w:val="center"/>
          </w:tcPr>
          <w:p w14:paraId="3099520E">
            <w:pPr>
              <w:widowControl w:val="0"/>
              <w:spacing w:line="360" w:lineRule="auto"/>
              <w:jc w:val="center"/>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发承包阶段（固定资产类投资项目及维修类项目）</w:t>
            </w:r>
          </w:p>
        </w:tc>
        <w:tc>
          <w:tcPr>
            <w:tcW w:w="1560" w:type="dxa"/>
          </w:tcPr>
          <w:p w14:paraId="04EDBDFA">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hint="eastAsia" w:ascii="Calibri" w:hAnsi="Calibri" w:eastAsia="宋体" w:cs="Times New Roman"/>
                <w:snapToGrid/>
                <w:color w:val="auto"/>
                <w:kern w:val="2"/>
                <w:sz w:val="18"/>
                <w:szCs w:val="18"/>
                <w:lang w:eastAsia="zh-CN"/>
              </w:rPr>
              <w:t>项目概算</w:t>
            </w:r>
          </w:p>
        </w:tc>
        <w:tc>
          <w:tcPr>
            <w:tcW w:w="1842" w:type="dxa"/>
          </w:tcPr>
          <w:p w14:paraId="2F9DDFF6">
            <w:pPr>
              <w:widowControl w:val="0"/>
              <w:kinsoku/>
              <w:autoSpaceDE/>
              <w:autoSpaceDN/>
              <w:adjustRightInd/>
              <w:snapToGrid/>
              <w:spacing w:line="360" w:lineRule="auto"/>
              <w:jc w:val="both"/>
              <w:textAlignment w:val="auto"/>
              <w:rPr>
                <w:rFonts w:ascii="Calibri" w:hAnsi="Calibri" w:eastAsia="宋体" w:cs="Times New Roman"/>
                <w:snapToGrid/>
                <w:color w:val="auto"/>
                <w:kern w:val="2"/>
                <w:szCs w:val="20"/>
                <w:lang w:eastAsia="zh-CN"/>
              </w:rPr>
            </w:pP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编制□审核□调整</w:t>
            </w:r>
          </w:p>
        </w:tc>
        <w:tc>
          <w:tcPr>
            <w:tcW w:w="1276" w:type="dxa"/>
            <w:vMerge w:val="restart"/>
          </w:tcPr>
          <w:p w14:paraId="56A5A66D">
            <w:pPr>
              <w:widowControl w:val="0"/>
              <w:spacing w:line="360" w:lineRule="auto"/>
              <w:jc w:val="both"/>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招标控制价、施工图预算（报价基数暂按</w:t>
            </w:r>
            <w:r>
              <w:rPr>
                <w:rFonts w:hint="eastAsia" w:ascii="Calibri" w:hAnsi="Calibri" w:eastAsia="宋体" w:cs="Times New Roman"/>
                <w:snapToGrid/>
                <w:color w:val="auto"/>
                <w:kern w:val="2"/>
                <w:sz w:val="18"/>
                <w:szCs w:val="18"/>
                <w:lang w:eastAsia="zh-CN"/>
              </w:rPr>
              <w:t>2000</w:t>
            </w:r>
            <w:r>
              <w:rPr>
                <w:rFonts w:ascii="Calibri" w:hAnsi="Calibri" w:eastAsia="宋体" w:cs="Times New Roman"/>
                <w:snapToGrid/>
                <w:color w:val="auto"/>
                <w:kern w:val="2"/>
                <w:sz w:val="18"/>
                <w:szCs w:val="18"/>
                <w:lang w:eastAsia="zh-CN"/>
              </w:rPr>
              <w:t>万元）</w:t>
            </w:r>
          </w:p>
        </w:tc>
        <w:tc>
          <w:tcPr>
            <w:tcW w:w="1276" w:type="dxa"/>
            <w:vMerge w:val="restart"/>
          </w:tcPr>
          <w:p w14:paraId="7D90C7E5">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p w14:paraId="36519880">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lang w:eastAsia="zh-CN"/>
              </w:rPr>
            </w:pPr>
            <w:r>
              <w:rPr>
                <w:rFonts w:ascii="仿宋" w:hAnsi="仿宋" w:eastAsia="仿宋" w:cs="宋体"/>
                <w:snapToGrid/>
                <w:color w:val="auto"/>
                <w:lang w:eastAsia="zh-CN"/>
              </w:rPr>
              <w:t>‰</w:t>
            </w:r>
          </w:p>
          <w:p w14:paraId="2BEE7712">
            <w:pPr>
              <w:widowControl w:val="0"/>
              <w:spacing w:line="360" w:lineRule="auto"/>
              <w:jc w:val="both"/>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 xml:space="preserve">  </w:t>
            </w:r>
          </w:p>
        </w:tc>
        <w:tc>
          <w:tcPr>
            <w:tcW w:w="850" w:type="dxa"/>
            <w:vMerge w:val="restart"/>
          </w:tcPr>
          <w:p w14:paraId="765AAE59">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restart"/>
          </w:tcPr>
          <w:p w14:paraId="0FDF911C">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7E8C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vAlign w:val="center"/>
          </w:tcPr>
          <w:p w14:paraId="60067A39">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560" w:type="dxa"/>
          </w:tcPr>
          <w:p w14:paraId="738BB844">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施工图预算</w:t>
            </w:r>
          </w:p>
        </w:tc>
        <w:tc>
          <w:tcPr>
            <w:tcW w:w="1842" w:type="dxa"/>
          </w:tcPr>
          <w:p w14:paraId="5229078E">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编制□审核□调整</w:t>
            </w:r>
          </w:p>
        </w:tc>
        <w:tc>
          <w:tcPr>
            <w:tcW w:w="1276" w:type="dxa"/>
            <w:vMerge w:val="continue"/>
          </w:tcPr>
          <w:p w14:paraId="0FC740DF">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7503B6D6">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850" w:type="dxa"/>
            <w:vMerge w:val="continue"/>
          </w:tcPr>
          <w:p w14:paraId="2A8A2708">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continue"/>
          </w:tcPr>
          <w:p w14:paraId="110817FB">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7B20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vAlign w:val="center"/>
          </w:tcPr>
          <w:p w14:paraId="7451F332">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560" w:type="dxa"/>
          </w:tcPr>
          <w:p w14:paraId="06EBB470">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工程量清单</w:t>
            </w:r>
          </w:p>
        </w:tc>
        <w:tc>
          <w:tcPr>
            <w:tcW w:w="1842" w:type="dxa"/>
          </w:tcPr>
          <w:p w14:paraId="1B75D620">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编制□审核□调整</w:t>
            </w:r>
          </w:p>
        </w:tc>
        <w:tc>
          <w:tcPr>
            <w:tcW w:w="1276" w:type="dxa"/>
            <w:vMerge w:val="continue"/>
          </w:tcPr>
          <w:p w14:paraId="12A44E43">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445B2280">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850" w:type="dxa"/>
            <w:vMerge w:val="continue"/>
          </w:tcPr>
          <w:p w14:paraId="7747713F">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continue"/>
          </w:tcPr>
          <w:p w14:paraId="0AD07B8C">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3006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tcPr>
          <w:p w14:paraId="21705786">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560" w:type="dxa"/>
          </w:tcPr>
          <w:p w14:paraId="6DDA6D0B">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最高投标限价</w:t>
            </w:r>
          </w:p>
        </w:tc>
        <w:tc>
          <w:tcPr>
            <w:tcW w:w="1842" w:type="dxa"/>
          </w:tcPr>
          <w:p w14:paraId="6F963621">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编制□审核□调整</w:t>
            </w:r>
          </w:p>
        </w:tc>
        <w:tc>
          <w:tcPr>
            <w:tcW w:w="1276" w:type="dxa"/>
            <w:vMerge w:val="continue"/>
          </w:tcPr>
          <w:p w14:paraId="70A788FF">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663F85F6">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850" w:type="dxa"/>
            <w:vMerge w:val="continue"/>
          </w:tcPr>
          <w:p w14:paraId="2E031ACA">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continue"/>
          </w:tcPr>
          <w:p w14:paraId="48278ADA">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509C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restart"/>
          </w:tcPr>
          <w:p w14:paraId="5C6D0BE0">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实施阶段（固定资产类投资项目及维修类项目）</w:t>
            </w:r>
          </w:p>
        </w:tc>
        <w:tc>
          <w:tcPr>
            <w:tcW w:w="1560" w:type="dxa"/>
          </w:tcPr>
          <w:p w14:paraId="5E6D796C">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工程计量与工程款审核</w:t>
            </w:r>
          </w:p>
        </w:tc>
        <w:tc>
          <w:tcPr>
            <w:tcW w:w="1842" w:type="dxa"/>
            <w:vAlign w:val="center"/>
          </w:tcPr>
          <w:p w14:paraId="28D8176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w:t>
            </w: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审核□调整</w:t>
            </w:r>
          </w:p>
        </w:tc>
        <w:tc>
          <w:tcPr>
            <w:tcW w:w="1276" w:type="dxa"/>
            <w:vMerge w:val="restart"/>
          </w:tcPr>
          <w:p w14:paraId="3420BBEE">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竣工结算值</w:t>
            </w:r>
            <w:r>
              <w:rPr>
                <w:rFonts w:ascii="宋体" w:hAnsi="宋体" w:eastAsia="宋体" w:cs="Times New Roman"/>
                <w:snapToGrid/>
                <w:color w:val="auto"/>
                <w:kern w:val="2"/>
                <w:sz w:val="18"/>
                <w:szCs w:val="18"/>
                <w:lang w:eastAsia="zh-CN"/>
              </w:rPr>
              <w:t>（报价基数暂按</w:t>
            </w:r>
            <w:r>
              <w:rPr>
                <w:rFonts w:hint="eastAsia" w:ascii="宋体" w:hAnsi="宋体" w:eastAsia="宋体" w:cs="Times New Roman"/>
                <w:snapToGrid/>
                <w:color w:val="auto"/>
                <w:kern w:val="2"/>
                <w:sz w:val="18"/>
                <w:szCs w:val="18"/>
                <w:lang w:eastAsia="zh-CN"/>
              </w:rPr>
              <w:t>2000</w:t>
            </w:r>
            <w:r>
              <w:rPr>
                <w:rFonts w:ascii="宋体" w:hAnsi="宋体" w:eastAsia="宋体" w:cs="Times New Roman"/>
                <w:snapToGrid/>
                <w:color w:val="auto"/>
                <w:kern w:val="2"/>
                <w:sz w:val="18"/>
                <w:szCs w:val="18"/>
                <w:lang w:eastAsia="zh-CN"/>
              </w:rPr>
              <w:t>万元）</w:t>
            </w:r>
          </w:p>
        </w:tc>
        <w:tc>
          <w:tcPr>
            <w:tcW w:w="1276" w:type="dxa"/>
            <w:vMerge w:val="restart"/>
          </w:tcPr>
          <w:p w14:paraId="0A4231FA">
            <w:pPr>
              <w:widowControl w:val="0"/>
              <w:kinsoku/>
              <w:autoSpaceDE/>
              <w:autoSpaceDN/>
              <w:adjustRightInd/>
              <w:snapToGrid/>
              <w:spacing w:line="360" w:lineRule="auto"/>
              <w:jc w:val="both"/>
              <w:textAlignment w:val="auto"/>
              <w:rPr>
                <w:rFonts w:ascii="宋体" w:hAnsi="Calibri" w:eastAsia="宋体" w:cs="Times New Roman"/>
                <w:snapToGrid/>
                <w:color w:val="auto"/>
                <w:kern w:val="2"/>
                <w:sz w:val="18"/>
                <w:szCs w:val="18"/>
                <w:lang w:eastAsia="zh-CN"/>
              </w:rPr>
            </w:pPr>
          </w:p>
          <w:p w14:paraId="2883FE0B">
            <w:pPr>
              <w:widowControl w:val="0"/>
              <w:kinsoku/>
              <w:autoSpaceDE/>
              <w:autoSpaceDN/>
              <w:adjustRightInd/>
              <w:snapToGrid/>
              <w:spacing w:line="360" w:lineRule="auto"/>
              <w:jc w:val="both"/>
              <w:textAlignment w:val="auto"/>
              <w:rPr>
                <w:rFonts w:ascii="宋体" w:hAnsi="Calibri" w:eastAsia="宋体" w:cs="Times New Roman"/>
                <w:snapToGrid/>
                <w:color w:val="auto"/>
                <w:kern w:val="2"/>
                <w:sz w:val="18"/>
                <w:szCs w:val="18"/>
                <w:lang w:eastAsia="zh-CN"/>
              </w:rPr>
            </w:pPr>
          </w:p>
          <w:p w14:paraId="6AB5A4A4">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lang w:eastAsia="zh-CN"/>
              </w:rPr>
            </w:pPr>
            <w:r>
              <w:rPr>
                <w:rFonts w:ascii="宋体" w:hAnsi="宋体" w:eastAsia="宋体" w:cs="Times New Roman"/>
                <w:snapToGrid/>
                <w:color w:val="auto"/>
                <w:kern w:val="2"/>
                <w:lang w:eastAsia="zh-CN"/>
              </w:rPr>
              <w:t>‰</w:t>
            </w:r>
          </w:p>
        </w:tc>
        <w:tc>
          <w:tcPr>
            <w:tcW w:w="850" w:type="dxa"/>
            <w:vMerge w:val="restart"/>
          </w:tcPr>
          <w:p w14:paraId="557A0DB4">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restart"/>
          </w:tcPr>
          <w:p w14:paraId="466CA255">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2C76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Merge w:val="continue"/>
          </w:tcPr>
          <w:p w14:paraId="1EBF3BF2">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560" w:type="dxa"/>
          </w:tcPr>
          <w:p w14:paraId="296B7C92">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合同价款调整</w:t>
            </w:r>
          </w:p>
        </w:tc>
        <w:tc>
          <w:tcPr>
            <w:tcW w:w="1842" w:type="dxa"/>
          </w:tcPr>
          <w:p w14:paraId="1B96B5B9">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w:t>
            </w: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审核□调整</w:t>
            </w:r>
          </w:p>
        </w:tc>
        <w:tc>
          <w:tcPr>
            <w:tcW w:w="1276" w:type="dxa"/>
            <w:vMerge w:val="continue"/>
          </w:tcPr>
          <w:p w14:paraId="7FC63506">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71ED1792">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850" w:type="dxa"/>
            <w:vMerge w:val="continue"/>
          </w:tcPr>
          <w:p w14:paraId="2FAE2790">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continue"/>
          </w:tcPr>
          <w:p w14:paraId="47308BF7">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4C39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tcPr>
          <w:p w14:paraId="52BECABD">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560" w:type="dxa"/>
          </w:tcPr>
          <w:p w14:paraId="7C748DAC">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工程变更、索赔、签证</w:t>
            </w:r>
          </w:p>
        </w:tc>
        <w:tc>
          <w:tcPr>
            <w:tcW w:w="1842" w:type="dxa"/>
            <w:vAlign w:val="center"/>
          </w:tcPr>
          <w:p w14:paraId="1E6BF799">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审核</w:t>
            </w:r>
          </w:p>
        </w:tc>
        <w:tc>
          <w:tcPr>
            <w:tcW w:w="1276" w:type="dxa"/>
            <w:vMerge w:val="continue"/>
          </w:tcPr>
          <w:p w14:paraId="2F0662A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230371BE">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850" w:type="dxa"/>
            <w:vMerge w:val="continue"/>
          </w:tcPr>
          <w:p w14:paraId="562F4E07">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continue"/>
          </w:tcPr>
          <w:p w14:paraId="6FD151BC">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6D9B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tcPr>
          <w:p w14:paraId="563332BB">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560" w:type="dxa"/>
          </w:tcPr>
          <w:p w14:paraId="052E232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工程实施阶段造价控制</w:t>
            </w:r>
          </w:p>
        </w:tc>
        <w:tc>
          <w:tcPr>
            <w:tcW w:w="1842" w:type="dxa"/>
          </w:tcPr>
          <w:p w14:paraId="560836C2">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1429A046">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1BF65135">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850" w:type="dxa"/>
            <w:vMerge w:val="continue"/>
          </w:tcPr>
          <w:p w14:paraId="5396256F">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continue"/>
          </w:tcPr>
          <w:p w14:paraId="42270298">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5548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Merge w:val="continue"/>
          </w:tcPr>
          <w:p w14:paraId="7A7D1194">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1560" w:type="dxa"/>
          </w:tcPr>
          <w:p w14:paraId="2B18477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其他：</w:t>
            </w:r>
          </w:p>
        </w:tc>
        <w:tc>
          <w:tcPr>
            <w:tcW w:w="1842" w:type="dxa"/>
          </w:tcPr>
          <w:p w14:paraId="5D7B4F77">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5EA465E4">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vMerge w:val="continue"/>
          </w:tcPr>
          <w:p w14:paraId="63E5B79D">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850" w:type="dxa"/>
            <w:vMerge w:val="continue"/>
          </w:tcPr>
          <w:p w14:paraId="7EC1EF6D">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vMerge w:val="continue"/>
          </w:tcPr>
          <w:p w14:paraId="710B304A">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22F1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5A2E2BD7">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竣工阶段（固定资产类投资项目及维修类项目）</w:t>
            </w:r>
          </w:p>
        </w:tc>
        <w:tc>
          <w:tcPr>
            <w:tcW w:w="1560" w:type="dxa"/>
            <w:vAlign w:val="center"/>
          </w:tcPr>
          <w:p w14:paraId="3854CDA5">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竣工结算</w:t>
            </w:r>
          </w:p>
        </w:tc>
        <w:tc>
          <w:tcPr>
            <w:tcW w:w="1842" w:type="dxa"/>
            <w:vAlign w:val="center"/>
          </w:tcPr>
          <w:p w14:paraId="2861F40E">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□编制</w:t>
            </w:r>
            <w:r>
              <w:rPr>
                <w:rFonts w:ascii="Calibri" w:hAnsi="Calibri" w:eastAsia="宋体" w:cs="Times New Roman"/>
                <w:snapToGrid/>
                <w:color w:val="auto"/>
                <w:kern w:val="2"/>
                <w:szCs w:val="20"/>
                <w:lang w:eastAsia="zh-CN"/>
              </w:rPr>
              <w:sym w:font="Wingdings 2" w:char="F052"/>
            </w:r>
            <w:r>
              <w:rPr>
                <w:rFonts w:ascii="Calibri" w:hAnsi="Calibri" w:eastAsia="宋体" w:cs="Times New Roman"/>
                <w:snapToGrid/>
                <w:color w:val="auto"/>
                <w:kern w:val="2"/>
                <w:sz w:val="18"/>
                <w:szCs w:val="18"/>
                <w:lang w:eastAsia="zh-CN"/>
              </w:rPr>
              <w:t>审核□调整</w:t>
            </w:r>
          </w:p>
        </w:tc>
        <w:tc>
          <w:tcPr>
            <w:tcW w:w="1276" w:type="dxa"/>
          </w:tcPr>
          <w:p w14:paraId="50DC9101">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竣工结算值（报价基数暂按</w:t>
            </w:r>
            <w:r>
              <w:rPr>
                <w:rFonts w:hint="eastAsia" w:ascii="Calibri" w:hAnsi="Calibri" w:eastAsia="宋体" w:cs="Times New Roman"/>
                <w:snapToGrid/>
                <w:color w:val="auto"/>
                <w:kern w:val="2"/>
                <w:sz w:val="18"/>
                <w:szCs w:val="18"/>
                <w:lang w:eastAsia="zh-CN"/>
              </w:rPr>
              <w:t>2000</w:t>
            </w:r>
            <w:r>
              <w:rPr>
                <w:rFonts w:ascii="Calibri" w:hAnsi="Calibri" w:eastAsia="宋体" w:cs="Times New Roman"/>
                <w:snapToGrid/>
                <w:color w:val="auto"/>
                <w:kern w:val="2"/>
                <w:sz w:val="18"/>
                <w:szCs w:val="18"/>
                <w:lang w:eastAsia="zh-CN"/>
              </w:rPr>
              <w:t>万元）</w:t>
            </w:r>
          </w:p>
        </w:tc>
        <w:tc>
          <w:tcPr>
            <w:tcW w:w="1276" w:type="dxa"/>
          </w:tcPr>
          <w:p w14:paraId="628C5897">
            <w:pPr>
              <w:widowControl w:val="0"/>
              <w:kinsoku/>
              <w:autoSpaceDE/>
              <w:autoSpaceDN/>
              <w:adjustRightInd/>
              <w:snapToGrid/>
              <w:spacing w:line="360" w:lineRule="auto"/>
              <w:ind w:firstLine="420" w:firstLineChars="200"/>
              <w:jc w:val="both"/>
              <w:textAlignment w:val="auto"/>
              <w:rPr>
                <w:rFonts w:ascii="Calibri" w:hAnsi="Calibri" w:eastAsia="宋体" w:cs="Times New Roman"/>
                <w:snapToGrid/>
                <w:color w:val="auto"/>
                <w:kern w:val="2"/>
                <w:sz w:val="18"/>
                <w:szCs w:val="18"/>
                <w:lang w:eastAsia="zh-CN"/>
              </w:rPr>
            </w:pPr>
            <w:r>
              <w:rPr>
                <w:rFonts w:ascii="宋体" w:hAnsi="宋体" w:eastAsia="宋体" w:cs="Times New Roman"/>
                <w:snapToGrid/>
                <w:color w:val="auto"/>
                <w:kern w:val="2"/>
                <w:lang w:eastAsia="zh-CN"/>
              </w:rPr>
              <w:t>‰</w:t>
            </w:r>
          </w:p>
        </w:tc>
        <w:tc>
          <w:tcPr>
            <w:tcW w:w="850" w:type="dxa"/>
          </w:tcPr>
          <w:p w14:paraId="3D2F9636">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tcPr>
          <w:p w14:paraId="65A26B09">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r w14:paraId="6BBB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809" w:type="dxa"/>
            <w:vAlign w:val="center"/>
          </w:tcPr>
          <w:p w14:paraId="15B80931">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r>
              <w:rPr>
                <w:rFonts w:ascii="Calibri" w:hAnsi="Calibri" w:eastAsia="宋体" w:cs="Times New Roman"/>
                <w:snapToGrid/>
                <w:color w:val="auto"/>
                <w:kern w:val="2"/>
                <w:sz w:val="18"/>
                <w:szCs w:val="18"/>
                <w:lang w:eastAsia="zh-CN"/>
              </w:rPr>
              <w:t>合计</w:t>
            </w:r>
          </w:p>
        </w:tc>
        <w:tc>
          <w:tcPr>
            <w:tcW w:w="1560" w:type="dxa"/>
            <w:vAlign w:val="center"/>
          </w:tcPr>
          <w:p w14:paraId="504554EC">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842" w:type="dxa"/>
            <w:vAlign w:val="center"/>
          </w:tcPr>
          <w:p w14:paraId="0ED7BD73">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tcPr>
          <w:p w14:paraId="058BA4D8">
            <w:pPr>
              <w:widowControl w:val="0"/>
              <w:kinsoku/>
              <w:autoSpaceDE/>
              <w:autoSpaceDN/>
              <w:adjustRightInd/>
              <w:snapToGrid/>
              <w:spacing w:line="360" w:lineRule="auto"/>
              <w:jc w:val="both"/>
              <w:textAlignment w:val="auto"/>
              <w:rPr>
                <w:rFonts w:ascii="Calibri" w:hAnsi="Calibri" w:eastAsia="宋体" w:cs="Times New Roman"/>
                <w:snapToGrid/>
                <w:color w:val="auto"/>
                <w:kern w:val="2"/>
                <w:sz w:val="18"/>
                <w:szCs w:val="18"/>
                <w:lang w:eastAsia="zh-CN"/>
              </w:rPr>
            </w:pPr>
          </w:p>
        </w:tc>
        <w:tc>
          <w:tcPr>
            <w:tcW w:w="1276" w:type="dxa"/>
          </w:tcPr>
          <w:p w14:paraId="593FB18F">
            <w:pPr>
              <w:widowControl w:val="0"/>
              <w:kinsoku/>
              <w:autoSpaceDE/>
              <w:autoSpaceDN/>
              <w:adjustRightInd/>
              <w:snapToGrid/>
              <w:spacing w:line="360" w:lineRule="auto"/>
              <w:jc w:val="both"/>
              <w:textAlignment w:val="auto"/>
              <w:rPr>
                <w:rFonts w:hint="eastAsia" w:ascii="宋体" w:hAnsi="宋体" w:eastAsia="宋体" w:cs="Times New Roman"/>
                <w:snapToGrid/>
                <w:color w:val="auto"/>
                <w:kern w:val="2"/>
                <w:lang w:eastAsia="zh-CN"/>
              </w:rPr>
            </w:pPr>
          </w:p>
        </w:tc>
        <w:tc>
          <w:tcPr>
            <w:tcW w:w="850" w:type="dxa"/>
          </w:tcPr>
          <w:p w14:paraId="7B8B9289">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c>
          <w:tcPr>
            <w:tcW w:w="991" w:type="dxa"/>
          </w:tcPr>
          <w:p w14:paraId="34819EEF">
            <w:pPr>
              <w:widowControl w:val="0"/>
              <w:kinsoku/>
              <w:autoSpaceDE/>
              <w:autoSpaceDN/>
              <w:adjustRightInd/>
              <w:snapToGrid/>
              <w:spacing w:line="360" w:lineRule="auto"/>
              <w:jc w:val="center"/>
              <w:textAlignment w:val="auto"/>
              <w:rPr>
                <w:rFonts w:ascii="Calibri" w:hAnsi="Calibri" w:eastAsia="宋体" w:cs="Times New Roman"/>
                <w:snapToGrid/>
                <w:color w:val="auto"/>
                <w:kern w:val="2"/>
                <w:sz w:val="18"/>
                <w:szCs w:val="18"/>
                <w:lang w:eastAsia="zh-CN"/>
              </w:rPr>
            </w:pPr>
          </w:p>
        </w:tc>
      </w:tr>
    </w:tbl>
    <w:p w14:paraId="3DD6CB62">
      <w:pPr>
        <w:pStyle w:val="3"/>
        <w:ind w:left="0" w:leftChars="0" w:firstLine="0" w:firstLineChars="0"/>
        <w:rPr>
          <w:color w:val="EE0000"/>
          <w:lang w:eastAsia="zh-CN"/>
        </w:rPr>
      </w:pPr>
      <w:r>
        <w:rPr>
          <w:rFonts w:ascii="宋体" w:hAnsi="宋体" w:eastAsia="宋体" w:cs="宋体"/>
          <w:color w:val="EE0000"/>
          <w:lang w:eastAsia="zh-CN"/>
        </w:rPr>
        <w:t>其中各项核增、核减金额相抵后最终差额不超过5%的，咨询服务费由委托单位按上表报价支付；最终差额超过5%的，超过部分由施工单位支付，该部分费率执行山东省建设工程工程量清单编制等计价项目造价咨询服务收费标准》收费标准。</w:t>
      </w:r>
    </w:p>
    <w:p w14:paraId="744552A1">
      <w:pPr>
        <w:spacing w:line="70" w:lineRule="exact"/>
        <w:rPr>
          <w:lang w:eastAsia="zh-CN"/>
        </w:rPr>
      </w:pPr>
    </w:p>
    <w:p w14:paraId="227FD723">
      <w:pPr>
        <w:pStyle w:val="11"/>
        <w:spacing w:line="464" w:lineRule="auto"/>
        <w:rPr>
          <w:lang w:eastAsia="zh-CN"/>
        </w:rPr>
      </w:pPr>
    </w:p>
    <w:p w14:paraId="1D6D1BE1">
      <w:pPr>
        <w:spacing w:before="78" w:line="219" w:lineRule="auto"/>
        <w:ind w:left="4682"/>
        <w:rPr>
          <w:rFonts w:hint="eastAsia" w:ascii="宋体" w:hAnsi="宋体" w:eastAsia="宋体" w:cs="宋体"/>
          <w:sz w:val="24"/>
          <w:szCs w:val="24"/>
          <w:lang w:eastAsia="zh-CN"/>
        </w:rPr>
      </w:pPr>
      <w:r>
        <w:rPr>
          <w:rFonts w:hint="eastAsia" w:ascii="宋体" w:hAnsi="宋体" w:eastAsia="宋体" w:cs="宋体"/>
          <w:spacing w:val="-18"/>
          <w:sz w:val="24"/>
          <w:szCs w:val="24"/>
          <w:lang w:eastAsia="zh-CN"/>
        </w:rPr>
        <w:t>供应商</w:t>
      </w:r>
      <w:r>
        <w:rPr>
          <w:rFonts w:ascii="宋体" w:hAnsi="宋体" w:eastAsia="宋体" w:cs="宋体"/>
          <w:spacing w:val="-18"/>
          <w:sz w:val="24"/>
          <w:szCs w:val="24"/>
          <w:lang w:eastAsia="zh-CN"/>
        </w:rPr>
        <w:t>：（</w:t>
      </w:r>
      <w:r>
        <w:rPr>
          <w:rFonts w:ascii="宋体" w:hAnsi="宋体" w:eastAsia="宋体" w:cs="宋体"/>
          <w:spacing w:val="3"/>
          <w:sz w:val="24"/>
          <w:szCs w:val="24"/>
          <w:lang w:eastAsia="zh-CN"/>
        </w:rPr>
        <w:t>盖单位章）</w:t>
      </w:r>
    </w:p>
    <w:p w14:paraId="7DD3491F">
      <w:pPr>
        <w:spacing w:before="183" w:line="347" w:lineRule="auto"/>
        <w:ind w:left="7083" w:right="530" w:hanging="2400"/>
        <w:rPr>
          <w:rFonts w:hint="eastAsia" w:ascii="宋体" w:hAnsi="宋体" w:eastAsia="宋体" w:cs="宋体"/>
          <w:sz w:val="24"/>
          <w:szCs w:val="24"/>
          <w:lang w:eastAsia="zh-CN"/>
        </w:rPr>
      </w:pPr>
      <w:r>
        <w:rPr>
          <w:rFonts w:ascii="宋体" w:hAnsi="宋体" w:eastAsia="宋体" w:cs="宋体"/>
          <w:sz w:val="24"/>
          <w:szCs w:val="24"/>
          <w:lang w:eastAsia="zh-CN"/>
        </w:rPr>
        <w:t>法定代表人或其委托代理人</w:t>
      </w:r>
      <w:r>
        <w:rPr>
          <w:rFonts w:ascii="宋体" w:hAnsi="宋体" w:eastAsia="宋体" w:cs="宋体"/>
          <w:spacing w:val="-42"/>
          <w:w w:val="66"/>
          <w:sz w:val="24"/>
          <w:szCs w:val="24"/>
          <w:lang w:eastAsia="zh-CN"/>
        </w:rPr>
        <w:t>：（</w:t>
      </w:r>
      <w:r>
        <w:rPr>
          <w:rFonts w:ascii="宋体" w:hAnsi="宋体" w:eastAsia="宋体" w:cs="宋体"/>
          <w:sz w:val="24"/>
          <w:szCs w:val="24"/>
          <w:lang w:eastAsia="zh-CN"/>
        </w:rPr>
        <w:t>签字）</w:t>
      </w:r>
      <w:r>
        <w:rPr>
          <w:rFonts w:ascii="宋体" w:hAnsi="宋体" w:eastAsia="宋体" w:cs="宋体"/>
          <w:spacing w:val="1"/>
          <w:sz w:val="24"/>
          <w:szCs w:val="24"/>
          <w:lang w:eastAsia="zh-CN"/>
        </w:rPr>
        <w:t xml:space="preserve"> </w:t>
      </w:r>
      <w:r>
        <w:rPr>
          <w:rFonts w:ascii="宋体" w:hAnsi="宋体" w:eastAsia="宋体" w:cs="宋体"/>
          <w:spacing w:val="-9"/>
          <w:sz w:val="24"/>
          <w:szCs w:val="24"/>
          <w:lang w:eastAsia="zh-CN"/>
        </w:rPr>
        <w:t>年</w:t>
      </w:r>
      <w:r>
        <w:rPr>
          <w:rFonts w:ascii="宋体" w:hAnsi="宋体" w:eastAsia="宋体" w:cs="宋体"/>
          <w:spacing w:val="7"/>
          <w:sz w:val="24"/>
          <w:szCs w:val="24"/>
          <w:lang w:eastAsia="zh-CN"/>
        </w:rPr>
        <w:t xml:space="preserve">  </w:t>
      </w:r>
      <w:r>
        <w:rPr>
          <w:rFonts w:ascii="宋体" w:hAnsi="宋体" w:eastAsia="宋体" w:cs="宋体"/>
          <w:spacing w:val="-9"/>
          <w:sz w:val="24"/>
          <w:szCs w:val="24"/>
          <w:lang w:eastAsia="zh-CN"/>
        </w:rPr>
        <w:t>月</w:t>
      </w:r>
      <w:r>
        <w:rPr>
          <w:rFonts w:ascii="宋体" w:hAnsi="宋体" w:eastAsia="宋体" w:cs="宋体"/>
          <w:spacing w:val="26"/>
          <w:sz w:val="24"/>
          <w:szCs w:val="24"/>
          <w:lang w:eastAsia="zh-CN"/>
        </w:rPr>
        <w:t xml:space="preserve">  </w:t>
      </w:r>
      <w:r>
        <w:rPr>
          <w:rFonts w:ascii="宋体" w:hAnsi="宋体" w:eastAsia="宋体" w:cs="宋体"/>
          <w:spacing w:val="-9"/>
          <w:sz w:val="24"/>
          <w:szCs w:val="24"/>
          <w:lang w:eastAsia="zh-CN"/>
        </w:rPr>
        <w:t>日</w:t>
      </w:r>
    </w:p>
    <w:p w14:paraId="2DA927EB">
      <w:pPr>
        <w:spacing w:line="347" w:lineRule="auto"/>
        <w:rPr>
          <w:rFonts w:hint="eastAsia" w:ascii="宋体" w:hAnsi="宋体" w:eastAsia="宋体" w:cs="宋体"/>
          <w:sz w:val="24"/>
          <w:szCs w:val="24"/>
          <w:lang w:eastAsia="zh-CN"/>
        </w:rPr>
        <w:sectPr>
          <w:footerReference r:id="rId18" w:type="default"/>
          <w:pgSz w:w="11906" w:h="16839"/>
          <w:pgMar w:top="1431" w:right="1170" w:bottom="1156" w:left="1687" w:header="0" w:footer="994" w:gutter="0"/>
          <w:cols w:space="720" w:num="1"/>
        </w:sectPr>
      </w:pPr>
    </w:p>
    <w:p w14:paraId="4D6D2D60">
      <w:pPr>
        <w:pStyle w:val="11"/>
        <w:spacing w:line="312" w:lineRule="auto"/>
        <w:rPr>
          <w:lang w:eastAsia="zh-CN"/>
        </w:rPr>
      </w:pPr>
    </w:p>
    <w:p w14:paraId="70728EE5">
      <w:pPr>
        <w:spacing w:before="143" w:line="228" w:lineRule="auto"/>
        <w:ind w:left="125"/>
        <w:rPr>
          <w:rFonts w:hint="eastAsia" w:ascii="宋体" w:hAnsi="宋体" w:eastAsia="宋体" w:cs="宋体"/>
          <w:sz w:val="19"/>
          <w:szCs w:val="19"/>
          <w:lang w:eastAsia="zh-CN"/>
        </w:rPr>
      </w:pPr>
      <w:r>
        <w:rPr>
          <w:rFonts w:hint="eastAsia" w:ascii="宋体" w:hAnsi="宋体" w:eastAsia="宋体" w:cs="宋体"/>
          <w:spacing w:val="8"/>
          <w:sz w:val="19"/>
          <w:szCs w:val="19"/>
          <w:lang w:eastAsia="zh-CN"/>
        </w:rPr>
        <w:t>6</w:t>
      </w:r>
      <w:r>
        <w:rPr>
          <w:rFonts w:ascii="宋体" w:hAnsi="宋体" w:eastAsia="宋体" w:cs="宋体"/>
          <w:spacing w:val="8"/>
          <w:sz w:val="19"/>
          <w:szCs w:val="19"/>
          <w:lang w:eastAsia="zh-CN"/>
        </w:rPr>
        <w:t>、商务或技术偏差表</w:t>
      </w:r>
    </w:p>
    <w:p w14:paraId="75E0CAEB">
      <w:pPr>
        <w:spacing w:before="294" w:line="219" w:lineRule="auto"/>
        <w:ind w:left="3316"/>
        <w:rPr>
          <w:rFonts w:hint="eastAsia" w:ascii="宋体" w:hAnsi="宋体" w:eastAsia="宋体" w:cs="宋体"/>
          <w:sz w:val="24"/>
          <w:szCs w:val="24"/>
          <w:lang w:eastAsia="zh-CN"/>
        </w:rPr>
      </w:pPr>
      <w:r>
        <w:rPr>
          <w:rFonts w:ascii="宋体" w:hAnsi="宋体" w:eastAsia="宋体" w:cs="宋体"/>
          <w:b/>
          <w:bCs/>
          <w:spacing w:val="-4"/>
          <w:sz w:val="24"/>
          <w:szCs w:val="24"/>
          <w:lang w:eastAsia="zh-CN"/>
        </w:rPr>
        <w:t>商务或技术偏差表</w:t>
      </w:r>
    </w:p>
    <w:p w14:paraId="4BD59095">
      <w:pPr>
        <w:spacing w:line="67" w:lineRule="exact"/>
        <w:rPr>
          <w:lang w:eastAsia="zh-CN"/>
        </w:rPr>
      </w:pPr>
    </w:p>
    <w:tbl>
      <w:tblPr>
        <w:tblStyle w:val="20"/>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1330"/>
        <w:gridCol w:w="991"/>
        <w:gridCol w:w="2550"/>
        <w:gridCol w:w="1984"/>
        <w:gridCol w:w="1421"/>
      </w:tblGrid>
      <w:tr w14:paraId="4017E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08" w:type="dxa"/>
            <w:vMerge w:val="restart"/>
            <w:tcBorders>
              <w:bottom w:val="nil"/>
            </w:tcBorders>
          </w:tcPr>
          <w:p w14:paraId="5B187DAB">
            <w:pPr>
              <w:spacing w:line="276" w:lineRule="auto"/>
              <w:rPr>
                <w:lang w:eastAsia="zh-CN"/>
              </w:rPr>
            </w:pPr>
          </w:p>
          <w:p w14:paraId="5599E548">
            <w:pPr>
              <w:spacing w:line="276" w:lineRule="auto"/>
              <w:rPr>
                <w:lang w:eastAsia="zh-CN"/>
              </w:rPr>
            </w:pPr>
          </w:p>
          <w:p w14:paraId="0BFDE509">
            <w:pPr>
              <w:spacing w:line="276" w:lineRule="auto"/>
              <w:rPr>
                <w:lang w:eastAsia="zh-CN"/>
              </w:rPr>
            </w:pPr>
          </w:p>
          <w:p w14:paraId="264830A2">
            <w:pPr>
              <w:spacing w:before="78" w:line="354" w:lineRule="auto"/>
              <w:ind w:left="220" w:right="219" w:firstLine="7"/>
              <w:jc w:val="both"/>
              <w:rPr>
                <w:rFonts w:hint="eastAsia" w:ascii="仿宋" w:hAnsi="仿宋" w:eastAsia="仿宋" w:cs="仿宋"/>
                <w:sz w:val="24"/>
                <w:szCs w:val="24"/>
              </w:rPr>
            </w:pPr>
            <w:r>
              <w:rPr>
                <w:rFonts w:ascii="仿宋" w:hAnsi="仿宋" w:eastAsia="仿宋" w:cs="仿宋"/>
                <w:spacing w:val="-13"/>
                <w:sz w:val="24"/>
                <w:szCs w:val="24"/>
              </w:rPr>
              <w:t>商务</w:t>
            </w:r>
            <w:r>
              <w:rPr>
                <w:rFonts w:ascii="仿宋" w:hAnsi="仿宋" w:eastAsia="仿宋" w:cs="仿宋"/>
                <w:sz w:val="24"/>
                <w:szCs w:val="24"/>
              </w:rPr>
              <w:t xml:space="preserve"> </w:t>
            </w:r>
            <w:r>
              <w:rPr>
                <w:rFonts w:ascii="仿宋" w:hAnsi="仿宋" w:eastAsia="仿宋" w:cs="仿宋"/>
                <w:spacing w:val="-9"/>
                <w:sz w:val="24"/>
                <w:szCs w:val="24"/>
              </w:rPr>
              <w:t>或技</w:t>
            </w:r>
            <w:r>
              <w:rPr>
                <w:rFonts w:ascii="仿宋" w:hAnsi="仿宋" w:eastAsia="仿宋" w:cs="仿宋"/>
                <w:sz w:val="24"/>
                <w:szCs w:val="24"/>
              </w:rPr>
              <w:t xml:space="preserve"> </w:t>
            </w:r>
            <w:r>
              <w:rPr>
                <w:rFonts w:ascii="仿宋" w:hAnsi="仿宋" w:eastAsia="仿宋" w:cs="仿宋"/>
                <w:spacing w:val="-9"/>
                <w:sz w:val="24"/>
                <w:szCs w:val="24"/>
              </w:rPr>
              <w:t>术偏</w:t>
            </w:r>
            <w:r>
              <w:rPr>
                <w:rFonts w:ascii="仿宋" w:hAnsi="仿宋" w:eastAsia="仿宋" w:cs="仿宋"/>
                <w:sz w:val="24"/>
                <w:szCs w:val="24"/>
              </w:rPr>
              <w:t xml:space="preserve"> </w:t>
            </w:r>
            <w:r>
              <w:rPr>
                <w:rFonts w:ascii="仿宋" w:hAnsi="仿宋" w:eastAsia="仿宋" w:cs="仿宋"/>
                <w:spacing w:val="43"/>
                <w:w w:val="125"/>
                <w:sz w:val="24"/>
                <w:szCs w:val="24"/>
              </w:rPr>
              <w:t>差</w:t>
            </w:r>
          </w:p>
        </w:tc>
        <w:tc>
          <w:tcPr>
            <w:tcW w:w="1330" w:type="dxa"/>
          </w:tcPr>
          <w:p w14:paraId="3A7E90B1">
            <w:pPr>
              <w:spacing w:before="167" w:line="224" w:lineRule="auto"/>
              <w:ind w:left="432"/>
              <w:rPr>
                <w:rFonts w:hint="eastAsia" w:ascii="仿宋" w:hAnsi="仿宋" w:eastAsia="仿宋" w:cs="仿宋"/>
                <w:sz w:val="24"/>
                <w:szCs w:val="24"/>
              </w:rPr>
            </w:pPr>
            <w:r>
              <w:rPr>
                <w:rFonts w:ascii="仿宋" w:hAnsi="仿宋" w:eastAsia="仿宋" w:cs="仿宋"/>
                <w:spacing w:val="-10"/>
                <w:sz w:val="24"/>
                <w:szCs w:val="24"/>
              </w:rPr>
              <w:t>条目</w:t>
            </w:r>
          </w:p>
        </w:tc>
        <w:tc>
          <w:tcPr>
            <w:tcW w:w="991" w:type="dxa"/>
          </w:tcPr>
          <w:p w14:paraId="2481A7FA">
            <w:pPr>
              <w:spacing w:before="167" w:line="224" w:lineRule="auto"/>
              <w:ind w:left="273"/>
              <w:rPr>
                <w:rFonts w:hint="eastAsia" w:ascii="仿宋" w:hAnsi="仿宋" w:eastAsia="仿宋" w:cs="仿宋"/>
                <w:sz w:val="24"/>
                <w:szCs w:val="24"/>
              </w:rPr>
            </w:pPr>
            <w:r>
              <w:rPr>
                <w:rFonts w:ascii="仿宋" w:hAnsi="仿宋" w:eastAsia="仿宋" w:cs="仿宋"/>
                <w:spacing w:val="-15"/>
                <w:sz w:val="24"/>
                <w:szCs w:val="24"/>
              </w:rPr>
              <w:t>页码</w:t>
            </w:r>
          </w:p>
        </w:tc>
        <w:tc>
          <w:tcPr>
            <w:tcW w:w="2550" w:type="dxa"/>
          </w:tcPr>
          <w:p w14:paraId="1D15D4D9">
            <w:pPr>
              <w:spacing w:before="168" w:line="222" w:lineRule="auto"/>
              <w:ind w:left="561"/>
              <w:rPr>
                <w:rFonts w:hint="eastAsia" w:ascii="仿宋" w:hAnsi="仿宋" w:eastAsia="仿宋" w:cs="仿宋"/>
                <w:sz w:val="24"/>
                <w:szCs w:val="24"/>
              </w:rPr>
            </w:pPr>
            <w:r>
              <w:rPr>
                <w:rFonts w:hint="eastAsia" w:ascii="仿宋" w:hAnsi="仿宋" w:eastAsia="仿宋" w:cs="仿宋"/>
                <w:spacing w:val="-3"/>
                <w:sz w:val="24"/>
                <w:szCs w:val="24"/>
                <w:lang w:eastAsia="zh-CN"/>
              </w:rPr>
              <w:t>谈判</w:t>
            </w:r>
            <w:r>
              <w:rPr>
                <w:rFonts w:ascii="仿宋" w:hAnsi="仿宋" w:eastAsia="仿宋" w:cs="仿宋"/>
                <w:spacing w:val="-3"/>
                <w:sz w:val="24"/>
                <w:szCs w:val="24"/>
              </w:rPr>
              <w:t>文件规定</w:t>
            </w:r>
          </w:p>
        </w:tc>
        <w:tc>
          <w:tcPr>
            <w:tcW w:w="1984" w:type="dxa"/>
          </w:tcPr>
          <w:p w14:paraId="6993570E">
            <w:pPr>
              <w:spacing w:before="168" w:line="223" w:lineRule="auto"/>
              <w:ind w:left="760"/>
              <w:rPr>
                <w:rFonts w:hint="eastAsia" w:ascii="仿宋" w:hAnsi="仿宋" w:eastAsia="仿宋" w:cs="仿宋"/>
                <w:sz w:val="24"/>
                <w:szCs w:val="24"/>
              </w:rPr>
            </w:pPr>
            <w:r>
              <w:rPr>
                <w:rFonts w:ascii="仿宋" w:hAnsi="仿宋" w:eastAsia="仿宋" w:cs="仿宋"/>
                <w:spacing w:val="-9"/>
                <w:sz w:val="24"/>
                <w:szCs w:val="24"/>
              </w:rPr>
              <w:t>偏差</w:t>
            </w:r>
          </w:p>
        </w:tc>
        <w:tc>
          <w:tcPr>
            <w:tcW w:w="1421" w:type="dxa"/>
          </w:tcPr>
          <w:p w14:paraId="547FA633">
            <w:pPr>
              <w:spacing w:before="168" w:line="224" w:lineRule="auto"/>
              <w:ind w:left="479"/>
              <w:rPr>
                <w:rFonts w:hint="eastAsia" w:ascii="仿宋" w:hAnsi="仿宋" w:eastAsia="仿宋" w:cs="仿宋"/>
                <w:sz w:val="24"/>
                <w:szCs w:val="24"/>
              </w:rPr>
            </w:pPr>
            <w:r>
              <w:rPr>
                <w:rFonts w:ascii="仿宋" w:hAnsi="仿宋" w:eastAsia="仿宋" w:cs="仿宋"/>
                <w:spacing w:val="-9"/>
                <w:sz w:val="24"/>
                <w:szCs w:val="24"/>
              </w:rPr>
              <w:t>备注</w:t>
            </w:r>
          </w:p>
        </w:tc>
      </w:tr>
      <w:tr w14:paraId="11FAD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08" w:type="dxa"/>
            <w:vMerge w:val="continue"/>
            <w:tcBorders>
              <w:top w:val="nil"/>
              <w:bottom w:val="nil"/>
            </w:tcBorders>
          </w:tcPr>
          <w:p w14:paraId="6FB3F987"/>
        </w:tc>
        <w:tc>
          <w:tcPr>
            <w:tcW w:w="1330" w:type="dxa"/>
          </w:tcPr>
          <w:p w14:paraId="6678AAEC"/>
        </w:tc>
        <w:tc>
          <w:tcPr>
            <w:tcW w:w="991" w:type="dxa"/>
          </w:tcPr>
          <w:p w14:paraId="3E421BBE"/>
        </w:tc>
        <w:tc>
          <w:tcPr>
            <w:tcW w:w="2550" w:type="dxa"/>
          </w:tcPr>
          <w:p w14:paraId="092F131B"/>
        </w:tc>
        <w:tc>
          <w:tcPr>
            <w:tcW w:w="1984" w:type="dxa"/>
          </w:tcPr>
          <w:p w14:paraId="6DFCA66F"/>
        </w:tc>
        <w:tc>
          <w:tcPr>
            <w:tcW w:w="1421" w:type="dxa"/>
          </w:tcPr>
          <w:p w14:paraId="1089CFF0"/>
        </w:tc>
      </w:tr>
      <w:tr w14:paraId="49D17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08" w:type="dxa"/>
            <w:vMerge w:val="continue"/>
            <w:tcBorders>
              <w:top w:val="nil"/>
              <w:bottom w:val="nil"/>
            </w:tcBorders>
          </w:tcPr>
          <w:p w14:paraId="5EC9236E"/>
        </w:tc>
        <w:tc>
          <w:tcPr>
            <w:tcW w:w="1330" w:type="dxa"/>
          </w:tcPr>
          <w:p w14:paraId="65611E08"/>
        </w:tc>
        <w:tc>
          <w:tcPr>
            <w:tcW w:w="991" w:type="dxa"/>
          </w:tcPr>
          <w:p w14:paraId="59CA0866"/>
        </w:tc>
        <w:tc>
          <w:tcPr>
            <w:tcW w:w="2550" w:type="dxa"/>
          </w:tcPr>
          <w:p w14:paraId="36B115AF"/>
        </w:tc>
        <w:tc>
          <w:tcPr>
            <w:tcW w:w="1984" w:type="dxa"/>
          </w:tcPr>
          <w:p w14:paraId="4299B23E"/>
        </w:tc>
        <w:tc>
          <w:tcPr>
            <w:tcW w:w="1421" w:type="dxa"/>
          </w:tcPr>
          <w:p w14:paraId="1D57BBEF"/>
        </w:tc>
      </w:tr>
      <w:tr w14:paraId="10723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08" w:type="dxa"/>
            <w:vMerge w:val="continue"/>
            <w:tcBorders>
              <w:top w:val="nil"/>
              <w:bottom w:val="nil"/>
            </w:tcBorders>
          </w:tcPr>
          <w:p w14:paraId="03D97BCB"/>
        </w:tc>
        <w:tc>
          <w:tcPr>
            <w:tcW w:w="1330" w:type="dxa"/>
          </w:tcPr>
          <w:p w14:paraId="496ED989"/>
        </w:tc>
        <w:tc>
          <w:tcPr>
            <w:tcW w:w="991" w:type="dxa"/>
          </w:tcPr>
          <w:p w14:paraId="3C9C3EDA"/>
        </w:tc>
        <w:tc>
          <w:tcPr>
            <w:tcW w:w="2550" w:type="dxa"/>
          </w:tcPr>
          <w:p w14:paraId="5124021E"/>
        </w:tc>
        <w:tc>
          <w:tcPr>
            <w:tcW w:w="1984" w:type="dxa"/>
          </w:tcPr>
          <w:p w14:paraId="6D721954"/>
        </w:tc>
        <w:tc>
          <w:tcPr>
            <w:tcW w:w="1421" w:type="dxa"/>
          </w:tcPr>
          <w:p w14:paraId="4D42A2F3"/>
        </w:tc>
      </w:tr>
      <w:tr w14:paraId="347E5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08" w:type="dxa"/>
            <w:vMerge w:val="continue"/>
            <w:tcBorders>
              <w:top w:val="nil"/>
              <w:bottom w:val="nil"/>
            </w:tcBorders>
          </w:tcPr>
          <w:p w14:paraId="081392E1"/>
        </w:tc>
        <w:tc>
          <w:tcPr>
            <w:tcW w:w="1330" w:type="dxa"/>
          </w:tcPr>
          <w:p w14:paraId="71F68240"/>
        </w:tc>
        <w:tc>
          <w:tcPr>
            <w:tcW w:w="991" w:type="dxa"/>
          </w:tcPr>
          <w:p w14:paraId="18EFBA27"/>
        </w:tc>
        <w:tc>
          <w:tcPr>
            <w:tcW w:w="2550" w:type="dxa"/>
          </w:tcPr>
          <w:p w14:paraId="3FC52908"/>
        </w:tc>
        <w:tc>
          <w:tcPr>
            <w:tcW w:w="1984" w:type="dxa"/>
          </w:tcPr>
          <w:p w14:paraId="09C400F6"/>
        </w:tc>
        <w:tc>
          <w:tcPr>
            <w:tcW w:w="1421" w:type="dxa"/>
          </w:tcPr>
          <w:p w14:paraId="3F6583CE"/>
        </w:tc>
      </w:tr>
      <w:tr w14:paraId="00569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08" w:type="dxa"/>
            <w:vMerge w:val="continue"/>
            <w:tcBorders>
              <w:top w:val="nil"/>
            </w:tcBorders>
          </w:tcPr>
          <w:p w14:paraId="6DCEC57D"/>
        </w:tc>
        <w:tc>
          <w:tcPr>
            <w:tcW w:w="1330" w:type="dxa"/>
          </w:tcPr>
          <w:p w14:paraId="307B4C8A"/>
        </w:tc>
        <w:tc>
          <w:tcPr>
            <w:tcW w:w="991" w:type="dxa"/>
          </w:tcPr>
          <w:p w14:paraId="053414FD"/>
        </w:tc>
        <w:tc>
          <w:tcPr>
            <w:tcW w:w="2550" w:type="dxa"/>
          </w:tcPr>
          <w:p w14:paraId="3A15F2FF"/>
        </w:tc>
        <w:tc>
          <w:tcPr>
            <w:tcW w:w="1984" w:type="dxa"/>
          </w:tcPr>
          <w:p w14:paraId="7717E63E"/>
        </w:tc>
        <w:tc>
          <w:tcPr>
            <w:tcW w:w="1421" w:type="dxa"/>
          </w:tcPr>
          <w:p w14:paraId="6AE8CEE8"/>
        </w:tc>
      </w:tr>
    </w:tbl>
    <w:p w14:paraId="1565D950">
      <w:pPr>
        <w:spacing w:before="113" w:line="219" w:lineRule="auto"/>
        <w:ind w:left="282"/>
        <w:rPr>
          <w:rFonts w:hint="eastAsia" w:ascii="宋体" w:hAnsi="宋体" w:eastAsia="宋体" w:cs="宋体"/>
          <w:sz w:val="24"/>
          <w:szCs w:val="24"/>
          <w:lang w:eastAsia="zh-CN"/>
        </w:rPr>
      </w:pPr>
      <w:r>
        <w:rPr>
          <w:rFonts w:ascii="宋体" w:hAnsi="宋体" w:eastAsia="宋体" w:cs="宋体"/>
          <w:spacing w:val="-1"/>
          <w:sz w:val="24"/>
          <w:szCs w:val="24"/>
          <w:lang w:eastAsia="zh-CN"/>
        </w:rPr>
        <w:t>注：若无商务或技术偏差，本表可不填。</w:t>
      </w:r>
    </w:p>
    <w:p w14:paraId="7F4E9C8A">
      <w:pPr>
        <w:spacing w:line="360" w:lineRule="auto"/>
        <w:ind w:firstLine="4560" w:firstLineChars="1900"/>
        <w:rPr>
          <w:rFonts w:cs="仿宋"/>
          <w:sz w:val="24"/>
          <w:szCs w:val="32"/>
          <w:lang w:eastAsia="zh-CN"/>
        </w:rPr>
      </w:pPr>
      <w:r>
        <w:rPr>
          <w:rFonts w:hint="eastAsia" w:eastAsia="宋体" w:cs="仿宋"/>
          <w:sz w:val="24"/>
          <w:szCs w:val="32"/>
          <w:lang w:eastAsia="zh-CN"/>
        </w:rPr>
        <w:t>供应商</w:t>
      </w:r>
      <w:r>
        <w:rPr>
          <w:rFonts w:hint="eastAsia" w:cs="仿宋"/>
          <w:sz w:val="24"/>
          <w:szCs w:val="32"/>
          <w:lang w:eastAsia="zh-CN"/>
        </w:rPr>
        <w:t>：（盖单位章）</w:t>
      </w:r>
    </w:p>
    <w:p w14:paraId="05D85779">
      <w:pPr>
        <w:spacing w:line="360" w:lineRule="auto"/>
        <w:ind w:firstLine="4560" w:firstLineChars="1900"/>
        <w:rPr>
          <w:rFonts w:cs="仿宋"/>
          <w:sz w:val="24"/>
          <w:szCs w:val="32"/>
          <w:lang w:eastAsia="zh-CN"/>
        </w:rPr>
      </w:pPr>
      <w:r>
        <w:rPr>
          <w:rFonts w:hint="eastAsia" w:cs="仿宋"/>
          <w:sz w:val="24"/>
          <w:szCs w:val="32"/>
          <w:lang w:eastAsia="zh-CN"/>
        </w:rPr>
        <w:t>法定代表人或其委托代理人：（签字）</w:t>
      </w:r>
    </w:p>
    <w:p w14:paraId="57A073E1">
      <w:pPr>
        <w:spacing w:before="183" w:line="347" w:lineRule="auto"/>
        <w:ind w:left="4683" w:right="671"/>
        <w:rPr>
          <w:rFonts w:hint="eastAsia" w:ascii="宋体" w:hAnsi="宋体" w:eastAsia="宋体" w:cs="宋体"/>
          <w:sz w:val="24"/>
          <w:szCs w:val="24"/>
          <w:lang w:eastAsia="zh-CN"/>
        </w:rPr>
      </w:pPr>
      <w:r>
        <w:rPr>
          <w:rFonts w:ascii="宋体" w:hAnsi="宋体" w:eastAsia="宋体" w:cs="宋体"/>
          <w:spacing w:val="-4"/>
          <w:sz w:val="24"/>
          <w:szCs w:val="24"/>
          <w:lang w:eastAsia="zh-CN"/>
        </w:rPr>
        <w:t>年</w:t>
      </w:r>
      <w:r>
        <w:rPr>
          <w:rFonts w:hint="eastAsia" w:ascii="宋体" w:hAnsi="宋体" w:eastAsia="宋体" w:cs="宋体"/>
          <w:spacing w:val="-4"/>
          <w:sz w:val="24"/>
          <w:szCs w:val="24"/>
          <w:lang w:eastAsia="zh-CN"/>
        </w:rPr>
        <w:t xml:space="preserve">  </w:t>
      </w:r>
      <w:r>
        <w:rPr>
          <w:rFonts w:ascii="宋体" w:hAnsi="宋体" w:eastAsia="宋体" w:cs="宋体"/>
          <w:spacing w:val="-4"/>
          <w:sz w:val="24"/>
          <w:szCs w:val="24"/>
          <w:lang w:eastAsia="zh-CN"/>
        </w:rPr>
        <w:t>月</w:t>
      </w:r>
      <w:r>
        <w:rPr>
          <w:rFonts w:hint="eastAsia" w:ascii="宋体" w:hAnsi="宋体" w:eastAsia="宋体" w:cs="宋体"/>
          <w:spacing w:val="-4"/>
          <w:sz w:val="24"/>
          <w:szCs w:val="24"/>
          <w:lang w:eastAsia="zh-CN"/>
        </w:rPr>
        <w:t xml:space="preserve">  </w:t>
      </w:r>
      <w:r>
        <w:rPr>
          <w:rFonts w:ascii="宋体" w:hAnsi="宋体" w:eastAsia="宋体" w:cs="宋体"/>
          <w:spacing w:val="-4"/>
          <w:sz w:val="24"/>
          <w:szCs w:val="24"/>
          <w:lang w:eastAsia="zh-CN"/>
        </w:rPr>
        <w:t>日</w:t>
      </w:r>
    </w:p>
    <w:p w14:paraId="6C4D5534">
      <w:pPr>
        <w:spacing w:before="63" w:line="228" w:lineRule="auto"/>
        <w:ind w:left="121"/>
        <w:outlineLvl w:val="1"/>
        <w:rPr>
          <w:rFonts w:hint="eastAsia" w:ascii="宋体" w:hAnsi="宋体" w:eastAsia="宋体" w:cs="宋体"/>
          <w:spacing w:val="9"/>
          <w:sz w:val="19"/>
          <w:szCs w:val="19"/>
          <w:lang w:eastAsia="zh-CN"/>
        </w:rPr>
      </w:pPr>
      <w:r>
        <w:rPr>
          <w:rFonts w:hint="eastAsia" w:ascii="宋体" w:hAnsi="宋体" w:eastAsia="宋体" w:cs="宋体"/>
          <w:spacing w:val="9"/>
          <w:sz w:val="19"/>
          <w:szCs w:val="19"/>
          <w:lang w:eastAsia="zh-CN"/>
        </w:rPr>
        <w:t>7</w:t>
      </w:r>
      <w:r>
        <w:rPr>
          <w:rFonts w:ascii="宋体" w:hAnsi="宋体" w:eastAsia="宋体" w:cs="宋体"/>
          <w:spacing w:val="9"/>
          <w:sz w:val="19"/>
          <w:szCs w:val="19"/>
          <w:lang w:eastAsia="zh-CN"/>
        </w:rPr>
        <w:t>、承揽方认为应补充的其他资料</w:t>
      </w:r>
    </w:p>
    <w:p w14:paraId="39268865">
      <w:pPr>
        <w:spacing w:before="63" w:line="228" w:lineRule="auto"/>
        <w:ind w:left="121"/>
        <w:outlineLvl w:val="1"/>
        <w:rPr>
          <w:rFonts w:hint="eastAsia" w:ascii="宋体" w:hAnsi="宋体" w:eastAsia="宋体" w:cs="宋体"/>
          <w:spacing w:val="9"/>
          <w:sz w:val="19"/>
          <w:szCs w:val="19"/>
          <w:lang w:eastAsia="zh-CN"/>
        </w:rPr>
      </w:pPr>
    </w:p>
    <w:p w14:paraId="6525E989">
      <w:pPr>
        <w:spacing w:before="63" w:line="228" w:lineRule="auto"/>
        <w:ind w:left="121"/>
        <w:outlineLvl w:val="1"/>
        <w:rPr>
          <w:rFonts w:hint="eastAsia" w:ascii="宋体" w:hAnsi="宋体" w:eastAsia="宋体" w:cs="宋体"/>
          <w:spacing w:val="9"/>
          <w:sz w:val="19"/>
          <w:szCs w:val="19"/>
          <w:lang w:eastAsia="zh-CN"/>
        </w:rPr>
      </w:pPr>
    </w:p>
    <w:p w14:paraId="299E7E68">
      <w:pPr>
        <w:spacing w:before="63" w:line="228" w:lineRule="auto"/>
        <w:ind w:left="121"/>
        <w:outlineLvl w:val="1"/>
        <w:rPr>
          <w:rFonts w:hint="eastAsia" w:ascii="宋体" w:hAnsi="宋体" w:eastAsia="宋体" w:cs="宋体"/>
          <w:spacing w:val="9"/>
          <w:sz w:val="19"/>
          <w:szCs w:val="19"/>
          <w:lang w:eastAsia="zh-CN"/>
        </w:rPr>
      </w:pPr>
    </w:p>
    <w:p w14:paraId="5BD7CF8F">
      <w:pPr>
        <w:spacing w:before="63" w:line="228" w:lineRule="auto"/>
        <w:ind w:left="121"/>
        <w:outlineLvl w:val="1"/>
        <w:rPr>
          <w:rFonts w:hint="eastAsia" w:ascii="宋体" w:hAnsi="宋体" w:eastAsia="宋体" w:cs="宋体"/>
          <w:spacing w:val="9"/>
          <w:sz w:val="19"/>
          <w:szCs w:val="19"/>
          <w:lang w:eastAsia="zh-CN"/>
        </w:rPr>
      </w:pPr>
    </w:p>
    <w:p w14:paraId="6F47DF39">
      <w:pPr>
        <w:spacing w:before="63" w:line="228" w:lineRule="auto"/>
        <w:ind w:left="121"/>
        <w:outlineLvl w:val="1"/>
        <w:rPr>
          <w:rFonts w:hint="eastAsia" w:ascii="宋体" w:hAnsi="宋体" w:eastAsia="宋体" w:cs="宋体"/>
          <w:spacing w:val="9"/>
          <w:sz w:val="19"/>
          <w:szCs w:val="19"/>
          <w:lang w:eastAsia="zh-CN"/>
        </w:rPr>
      </w:pPr>
    </w:p>
    <w:p w14:paraId="738D4C91">
      <w:pPr>
        <w:spacing w:before="63" w:line="228" w:lineRule="auto"/>
        <w:ind w:left="121"/>
        <w:outlineLvl w:val="1"/>
        <w:rPr>
          <w:rFonts w:hint="eastAsia" w:ascii="宋体" w:hAnsi="宋体" w:eastAsia="宋体" w:cs="宋体"/>
          <w:spacing w:val="9"/>
          <w:sz w:val="19"/>
          <w:szCs w:val="19"/>
          <w:lang w:eastAsia="zh-CN"/>
        </w:rPr>
      </w:pPr>
    </w:p>
    <w:p w14:paraId="09D0B052">
      <w:pPr>
        <w:spacing w:before="63" w:line="228" w:lineRule="auto"/>
        <w:ind w:left="121"/>
        <w:outlineLvl w:val="1"/>
        <w:rPr>
          <w:rFonts w:hint="eastAsia" w:ascii="宋体" w:hAnsi="宋体" w:eastAsia="宋体" w:cs="宋体"/>
          <w:spacing w:val="9"/>
          <w:sz w:val="19"/>
          <w:szCs w:val="19"/>
          <w:lang w:eastAsia="zh-CN"/>
        </w:rPr>
      </w:pPr>
      <w:r>
        <w:rPr>
          <w:rFonts w:hint="eastAsia" w:ascii="宋体" w:hAnsi="宋体" w:eastAsia="宋体" w:cs="宋体"/>
          <w:spacing w:val="9"/>
          <w:sz w:val="19"/>
          <w:szCs w:val="19"/>
          <w:lang w:eastAsia="zh-CN"/>
        </w:rPr>
        <w:t>8、技术部分要求</w:t>
      </w:r>
    </w:p>
    <w:p w14:paraId="2608FE0D">
      <w:pPr>
        <w:spacing w:before="63" w:line="228" w:lineRule="auto"/>
        <w:ind w:left="121"/>
        <w:outlineLvl w:val="1"/>
        <w:rPr>
          <w:rFonts w:hint="eastAsia" w:ascii="宋体" w:hAnsi="宋体" w:eastAsia="宋体" w:cs="宋体"/>
          <w:spacing w:val="9"/>
          <w:sz w:val="19"/>
          <w:szCs w:val="19"/>
          <w:lang w:eastAsia="zh-CN"/>
        </w:rPr>
      </w:pPr>
      <w:r>
        <w:rPr>
          <w:rFonts w:hint="eastAsia" w:ascii="宋体" w:hAnsi="宋体" w:eastAsia="宋体" w:cs="宋体"/>
          <w:spacing w:val="9"/>
          <w:sz w:val="19"/>
          <w:szCs w:val="19"/>
          <w:lang w:eastAsia="zh-CN"/>
        </w:rPr>
        <w:t>应包含的内容：工作方案、技术保障措施、服务过程遇到的重难点及技术问题应对措施、合理化建议及其他供应商需要补充的其他文件和说明。</w:t>
      </w:r>
    </w:p>
    <w:p w14:paraId="4206FE68">
      <w:pPr>
        <w:spacing w:before="63" w:line="228" w:lineRule="auto"/>
        <w:ind w:left="121"/>
        <w:outlineLvl w:val="1"/>
        <w:rPr>
          <w:rFonts w:hint="eastAsia" w:ascii="宋体" w:hAnsi="宋体" w:eastAsia="宋体" w:cs="宋体"/>
          <w:spacing w:val="9"/>
          <w:sz w:val="19"/>
          <w:szCs w:val="19"/>
          <w:lang w:eastAsia="zh-CN"/>
        </w:rPr>
      </w:pPr>
      <w:r>
        <w:rPr>
          <w:rFonts w:hint="eastAsia" w:ascii="宋体" w:hAnsi="宋体" w:eastAsia="宋体" w:cs="宋体"/>
          <w:spacing w:val="9"/>
          <w:sz w:val="19"/>
          <w:szCs w:val="19"/>
          <w:lang w:eastAsia="zh-CN"/>
        </w:rPr>
        <w:t>注：以上内容由响应单位自行编制，格式自拟，作为技术评审依据。</w:t>
      </w:r>
    </w:p>
    <w:sectPr>
      <w:footerReference r:id="rId19" w:type="default"/>
      <w:pgSz w:w="11906" w:h="16839"/>
      <w:pgMar w:top="1431" w:right="1029" w:bottom="1156" w:left="1687" w:header="0" w:footer="99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方正仿宋简体">
    <w:altName w:val="宋体"/>
    <w:panose1 w:val="00000000000000000000"/>
    <w:charset w:val="86"/>
    <w:family w:val="auto"/>
    <w:pitch w:val="default"/>
    <w:sig w:usb0="00000000" w:usb1="00000000" w:usb2="00000010" w:usb3="00000000" w:csb0="00040000" w:csb1="00000000"/>
  </w:font>
  <w:font w:name="Meiryo">
    <w:altName w:val="Yu Gothic UI"/>
    <w:panose1 w:val="020B0604030504040204"/>
    <w:charset w:val="80"/>
    <w:family w:val="swiss"/>
    <w:pitch w:val="default"/>
    <w:sig w:usb0="00000000" w:usb1="00000000" w:usb2="00010012" w:usb3="00000000" w:csb0="0002009F" w:csb1="0000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D5B02">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F85D9">
    <w:pPr>
      <w:spacing w:line="176" w:lineRule="auto"/>
      <w:ind w:left="4263"/>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1BB32">
    <w:pPr>
      <w:spacing w:line="176" w:lineRule="auto"/>
      <w:ind w:left="4848"/>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230D2">
    <w:pPr>
      <w:spacing w:line="173" w:lineRule="auto"/>
      <w:ind w:left="485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67ED8">
    <w:pPr>
      <w:spacing w:line="176" w:lineRule="auto"/>
      <w:ind w:left="4853"/>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5605A">
    <w:pPr>
      <w:spacing w:line="176" w:lineRule="auto"/>
      <w:ind w:left="4231"/>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95EF6">
    <w:pPr>
      <w:spacing w:line="176" w:lineRule="auto"/>
      <w:ind w:left="495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12B26">
    <w:pPr>
      <w:spacing w:line="176" w:lineRule="auto"/>
      <w:ind w:left="42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98303">
    <w:pPr>
      <w:spacing w:line="176" w:lineRule="auto"/>
      <w:ind w:left="410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4A974">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90A16">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6FBA2">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09E4D">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EE21B">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0FCDE">
    <w:pPr>
      <w:spacing w:line="176" w:lineRule="auto"/>
      <w:ind w:left="41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CD7A">
    <w:pPr>
      <w:spacing w:line="176" w:lineRule="auto"/>
      <w:ind w:left="41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37843">
    <w:pPr>
      <w:spacing w:line="176" w:lineRule="auto"/>
      <w:ind w:left="418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E2NzA0YTUwOGJjODhkNjBkODYxY2ViMzBmYmM5NmYifQ=="/>
  </w:docVars>
  <w:rsids>
    <w:rsidRoot w:val="00887B60"/>
    <w:rsid w:val="000426BD"/>
    <w:rsid w:val="00047B50"/>
    <w:rsid w:val="000524FA"/>
    <w:rsid w:val="00055630"/>
    <w:rsid w:val="00055A74"/>
    <w:rsid w:val="00063546"/>
    <w:rsid w:val="00064B68"/>
    <w:rsid w:val="0008520F"/>
    <w:rsid w:val="000A0887"/>
    <w:rsid w:val="000D0B5F"/>
    <w:rsid w:val="000F6051"/>
    <w:rsid w:val="0010157D"/>
    <w:rsid w:val="00105576"/>
    <w:rsid w:val="00115447"/>
    <w:rsid w:val="00121874"/>
    <w:rsid w:val="001251A1"/>
    <w:rsid w:val="00161B0F"/>
    <w:rsid w:val="00174711"/>
    <w:rsid w:val="001957B0"/>
    <w:rsid w:val="00212147"/>
    <w:rsid w:val="00247D71"/>
    <w:rsid w:val="002577B4"/>
    <w:rsid w:val="00270BB1"/>
    <w:rsid w:val="00280448"/>
    <w:rsid w:val="00283065"/>
    <w:rsid w:val="00285955"/>
    <w:rsid w:val="002D1258"/>
    <w:rsid w:val="002E2BD1"/>
    <w:rsid w:val="002F003C"/>
    <w:rsid w:val="00323DC0"/>
    <w:rsid w:val="00324A85"/>
    <w:rsid w:val="00327FDA"/>
    <w:rsid w:val="003404D8"/>
    <w:rsid w:val="00363828"/>
    <w:rsid w:val="00371145"/>
    <w:rsid w:val="00382E56"/>
    <w:rsid w:val="00393135"/>
    <w:rsid w:val="003A517E"/>
    <w:rsid w:val="003C0ABC"/>
    <w:rsid w:val="003F65E9"/>
    <w:rsid w:val="00410982"/>
    <w:rsid w:val="00412B5E"/>
    <w:rsid w:val="00451828"/>
    <w:rsid w:val="0046381A"/>
    <w:rsid w:val="0047733F"/>
    <w:rsid w:val="00497AC1"/>
    <w:rsid w:val="004A19C0"/>
    <w:rsid w:val="004A1A67"/>
    <w:rsid w:val="004B0285"/>
    <w:rsid w:val="005266BD"/>
    <w:rsid w:val="005279D0"/>
    <w:rsid w:val="00587689"/>
    <w:rsid w:val="005D131E"/>
    <w:rsid w:val="00612B56"/>
    <w:rsid w:val="00632082"/>
    <w:rsid w:val="006415D5"/>
    <w:rsid w:val="00651CAA"/>
    <w:rsid w:val="00666EDC"/>
    <w:rsid w:val="00667541"/>
    <w:rsid w:val="0067212F"/>
    <w:rsid w:val="00677672"/>
    <w:rsid w:val="00693B66"/>
    <w:rsid w:val="006C6388"/>
    <w:rsid w:val="006D064E"/>
    <w:rsid w:val="006D64EC"/>
    <w:rsid w:val="007141E2"/>
    <w:rsid w:val="00724D57"/>
    <w:rsid w:val="0074250A"/>
    <w:rsid w:val="00767642"/>
    <w:rsid w:val="007B3866"/>
    <w:rsid w:val="007B4357"/>
    <w:rsid w:val="007B5741"/>
    <w:rsid w:val="00826A23"/>
    <w:rsid w:val="008837DB"/>
    <w:rsid w:val="00887B60"/>
    <w:rsid w:val="008E36E4"/>
    <w:rsid w:val="008F25DC"/>
    <w:rsid w:val="008F63A9"/>
    <w:rsid w:val="009304D5"/>
    <w:rsid w:val="00941801"/>
    <w:rsid w:val="00956CD1"/>
    <w:rsid w:val="00967695"/>
    <w:rsid w:val="009703BF"/>
    <w:rsid w:val="00974F4E"/>
    <w:rsid w:val="00976248"/>
    <w:rsid w:val="00990029"/>
    <w:rsid w:val="009C3FDC"/>
    <w:rsid w:val="009E3F6B"/>
    <w:rsid w:val="00A11209"/>
    <w:rsid w:val="00A121D8"/>
    <w:rsid w:val="00A13247"/>
    <w:rsid w:val="00A232CD"/>
    <w:rsid w:val="00A4555B"/>
    <w:rsid w:val="00A5306A"/>
    <w:rsid w:val="00A65951"/>
    <w:rsid w:val="00A83988"/>
    <w:rsid w:val="00A84A89"/>
    <w:rsid w:val="00AB2496"/>
    <w:rsid w:val="00AC488B"/>
    <w:rsid w:val="00AF77B4"/>
    <w:rsid w:val="00B1602D"/>
    <w:rsid w:val="00B206C3"/>
    <w:rsid w:val="00B26F74"/>
    <w:rsid w:val="00B60F57"/>
    <w:rsid w:val="00B865D8"/>
    <w:rsid w:val="00BA4E8B"/>
    <w:rsid w:val="00BB1ECB"/>
    <w:rsid w:val="00BC30ED"/>
    <w:rsid w:val="00BF17C6"/>
    <w:rsid w:val="00BF6676"/>
    <w:rsid w:val="00C04CF7"/>
    <w:rsid w:val="00C64D0C"/>
    <w:rsid w:val="00C932C0"/>
    <w:rsid w:val="00C96859"/>
    <w:rsid w:val="00CD24C7"/>
    <w:rsid w:val="00CD5A16"/>
    <w:rsid w:val="00CE1DDD"/>
    <w:rsid w:val="00D00923"/>
    <w:rsid w:val="00D16B21"/>
    <w:rsid w:val="00D23902"/>
    <w:rsid w:val="00D24BAB"/>
    <w:rsid w:val="00D41527"/>
    <w:rsid w:val="00D52F5F"/>
    <w:rsid w:val="00D64847"/>
    <w:rsid w:val="00D756AE"/>
    <w:rsid w:val="00D852E9"/>
    <w:rsid w:val="00DB5B53"/>
    <w:rsid w:val="00DC2E6E"/>
    <w:rsid w:val="00DC5ACD"/>
    <w:rsid w:val="00DD41FB"/>
    <w:rsid w:val="00E201C9"/>
    <w:rsid w:val="00E33EC5"/>
    <w:rsid w:val="00E64988"/>
    <w:rsid w:val="00E747BA"/>
    <w:rsid w:val="00E756A1"/>
    <w:rsid w:val="00E76312"/>
    <w:rsid w:val="00E87117"/>
    <w:rsid w:val="00EB6531"/>
    <w:rsid w:val="00EC1B0E"/>
    <w:rsid w:val="00ED31BF"/>
    <w:rsid w:val="00ED640C"/>
    <w:rsid w:val="00EE0678"/>
    <w:rsid w:val="00EF5866"/>
    <w:rsid w:val="00F01070"/>
    <w:rsid w:val="00F0393F"/>
    <w:rsid w:val="00F122A9"/>
    <w:rsid w:val="00F2309D"/>
    <w:rsid w:val="00F44E14"/>
    <w:rsid w:val="00F53695"/>
    <w:rsid w:val="00F64089"/>
    <w:rsid w:val="00F97D6C"/>
    <w:rsid w:val="00FB4B4F"/>
    <w:rsid w:val="00FC304B"/>
    <w:rsid w:val="00FC7793"/>
    <w:rsid w:val="00FF59DD"/>
    <w:rsid w:val="0156392B"/>
    <w:rsid w:val="017A355E"/>
    <w:rsid w:val="028B3ADB"/>
    <w:rsid w:val="064B56BF"/>
    <w:rsid w:val="088E44D8"/>
    <w:rsid w:val="08BD6586"/>
    <w:rsid w:val="099B67B3"/>
    <w:rsid w:val="0C0848DA"/>
    <w:rsid w:val="0CAF60D6"/>
    <w:rsid w:val="0DB905F3"/>
    <w:rsid w:val="0DD669A4"/>
    <w:rsid w:val="0E282B55"/>
    <w:rsid w:val="0E6E617C"/>
    <w:rsid w:val="0EE849A7"/>
    <w:rsid w:val="11233AA1"/>
    <w:rsid w:val="11927E71"/>
    <w:rsid w:val="1495758C"/>
    <w:rsid w:val="15B058D9"/>
    <w:rsid w:val="18E150AC"/>
    <w:rsid w:val="19740AE2"/>
    <w:rsid w:val="1B340A6B"/>
    <w:rsid w:val="1C721401"/>
    <w:rsid w:val="1CB15B83"/>
    <w:rsid w:val="22AF3548"/>
    <w:rsid w:val="22AF3FF6"/>
    <w:rsid w:val="25D507F2"/>
    <w:rsid w:val="274A3283"/>
    <w:rsid w:val="27614A48"/>
    <w:rsid w:val="287A0D63"/>
    <w:rsid w:val="2A270CF7"/>
    <w:rsid w:val="2C7F51A8"/>
    <w:rsid w:val="2CA54D1A"/>
    <w:rsid w:val="2F98718A"/>
    <w:rsid w:val="32031B4F"/>
    <w:rsid w:val="32434235"/>
    <w:rsid w:val="32AF4E79"/>
    <w:rsid w:val="35F1149A"/>
    <w:rsid w:val="382C624B"/>
    <w:rsid w:val="398731A5"/>
    <w:rsid w:val="3AF22ED6"/>
    <w:rsid w:val="3B8D3AA3"/>
    <w:rsid w:val="3CC23C6F"/>
    <w:rsid w:val="3E073874"/>
    <w:rsid w:val="3FC5776D"/>
    <w:rsid w:val="40560924"/>
    <w:rsid w:val="40F07EA7"/>
    <w:rsid w:val="420F4EE4"/>
    <w:rsid w:val="42D22B3B"/>
    <w:rsid w:val="438C49C7"/>
    <w:rsid w:val="44963BD5"/>
    <w:rsid w:val="44FE7A9E"/>
    <w:rsid w:val="454749D3"/>
    <w:rsid w:val="468F61E4"/>
    <w:rsid w:val="46DB65F5"/>
    <w:rsid w:val="48B721DD"/>
    <w:rsid w:val="4DA14F15"/>
    <w:rsid w:val="4DE414E3"/>
    <w:rsid w:val="50A907D5"/>
    <w:rsid w:val="51283A7E"/>
    <w:rsid w:val="547F654B"/>
    <w:rsid w:val="54E07BB6"/>
    <w:rsid w:val="5A405001"/>
    <w:rsid w:val="5E056651"/>
    <w:rsid w:val="5E26482D"/>
    <w:rsid w:val="5E4C2B8A"/>
    <w:rsid w:val="60480809"/>
    <w:rsid w:val="60A6168B"/>
    <w:rsid w:val="616A29F0"/>
    <w:rsid w:val="626F0D64"/>
    <w:rsid w:val="65B90696"/>
    <w:rsid w:val="65EB1B4A"/>
    <w:rsid w:val="662B3F8D"/>
    <w:rsid w:val="66A54590"/>
    <w:rsid w:val="692A58E0"/>
    <w:rsid w:val="6A4D211A"/>
    <w:rsid w:val="6AE530B1"/>
    <w:rsid w:val="70D429B5"/>
    <w:rsid w:val="7162169D"/>
    <w:rsid w:val="717E1BCD"/>
    <w:rsid w:val="731A13D7"/>
    <w:rsid w:val="741828E2"/>
    <w:rsid w:val="750B56A5"/>
    <w:rsid w:val="78CB46DD"/>
    <w:rsid w:val="79C824DD"/>
    <w:rsid w:val="7D921C5C"/>
    <w:rsid w:val="7DC32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7">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8">
    <w:name w:val="heading 2"/>
    <w:basedOn w:val="1"/>
    <w:next w:val="1"/>
    <w:qFormat/>
    <w:uiPriority w:val="99"/>
    <w:pPr>
      <w:keepNext/>
      <w:keepLines/>
      <w:widowControl w:val="0"/>
      <w:spacing w:before="260" w:after="260" w:line="415" w:lineRule="auto"/>
      <w:jc w:val="both"/>
      <w:outlineLvl w:val="1"/>
    </w:pPr>
    <w:rPr>
      <w:rFonts w:eastAsia="黑体" w:cs="Times New Roman"/>
      <w:b/>
      <w:bCs/>
      <w:sz w:val="32"/>
      <w:szCs w:val="32"/>
    </w:rPr>
  </w:style>
  <w:style w:type="paragraph" w:styleId="9">
    <w:name w:val="heading 3"/>
    <w:basedOn w:val="1"/>
    <w:next w:val="1"/>
    <w:link w:val="29"/>
    <w:qFormat/>
    <w:uiPriority w:val="0"/>
    <w:pPr>
      <w:keepNext/>
      <w:keepLines/>
      <w:spacing w:before="260" w:after="260" w:line="415" w:lineRule="auto"/>
      <w:outlineLvl w:val="2"/>
    </w:pPr>
    <w:rPr>
      <w:b/>
      <w:bCs/>
      <w:sz w:val="32"/>
      <w:szCs w:val="32"/>
    </w:rPr>
  </w:style>
  <w:style w:type="paragraph" w:styleId="10">
    <w:name w:val="heading 4"/>
    <w:basedOn w:val="1"/>
    <w:next w:val="1"/>
    <w:qFormat/>
    <w:uiPriority w:val="0"/>
    <w:pPr>
      <w:keepNext/>
      <w:keepLines/>
      <w:widowControl w:val="0"/>
      <w:spacing w:before="280" w:after="290" w:line="374" w:lineRule="auto"/>
      <w:jc w:val="both"/>
      <w:outlineLvl w:val="3"/>
    </w:pPr>
    <w:rPr>
      <w:rFonts w:eastAsia="黑体" w:cs="Times New Roman"/>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unhideWhenUsed/>
    <w:qFormat/>
    <w:uiPriority w:val="0"/>
    <w:pPr>
      <w:ind w:firstLine="420" w:firstLineChars="200"/>
    </w:pPr>
    <w:rPr>
      <w:rFonts w:ascii="宋体" w:hAnsi="宋体"/>
      <w:sz w:val="20"/>
    </w:rPr>
  </w:style>
  <w:style w:type="paragraph" w:styleId="3">
    <w:name w:val="Body Text First Indent 2"/>
    <w:basedOn w:val="4"/>
    <w:next w:val="6"/>
    <w:qFormat/>
    <w:uiPriority w:val="99"/>
    <w:pPr>
      <w:ind w:firstLine="420" w:firstLineChars="200"/>
    </w:pPr>
  </w:style>
  <w:style w:type="paragraph" w:styleId="4">
    <w:name w:val="Body Text Indent"/>
    <w:basedOn w:val="1"/>
    <w:next w:val="5"/>
    <w:qFormat/>
    <w:uiPriority w:val="99"/>
    <w:pPr>
      <w:widowControl w:val="0"/>
      <w:spacing w:after="120"/>
      <w:ind w:left="420" w:leftChars="200"/>
      <w:jc w:val="both"/>
    </w:pPr>
    <w:rPr>
      <w:rFonts w:ascii="Times New Roman" w:hAnsi="Times New Roman" w:cs="Times New Roman"/>
    </w:rPr>
  </w:style>
  <w:style w:type="paragraph" w:styleId="5">
    <w:name w:val="envelope return"/>
    <w:basedOn w:val="1"/>
    <w:next w:val="4"/>
    <w:qFormat/>
    <w:uiPriority w:val="0"/>
  </w:style>
  <w:style w:type="paragraph" w:styleId="6">
    <w:name w:val="List"/>
    <w:basedOn w:val="1"/>
    <w:qFormat/>
    <w:uiPriority w:val="0"/>
    <w:pPr>
      <w:jc w:val="center"/>
      <w:textAlignment w:val="center"/>
    </w:pPr>
    <w:rPr>
      <w:rFonts w:eastAsia="仿宋_GB2312"/>
      <w:kern w:val="21"/>
      <w:lang w:val="zh-CN"/>
    </w:rPr>
  </w:style>
  <w:style w:type="paragraph" w:styleId="11">
    <w:name w:val="Body Text"/>
    <w:basedOn w:val="1"/>
    <w:semiHidden/>
    <w:qFormat/>
    <w:uiPriority w:val="0"/>
  </w:style>
  <w:style w:type="paragraph" w:styleId="12">
    <w:name w:val="footer"/>
    <w:basedOn w:val="1"/>
    <w:link w:val="34"/>
    <w:qFormat/>
    <w:uiPriority w:val="0"/>
    <w:pPr>
      <w:tabs>
        <w:tab w:val="center" w:pos="4153"/>
        <w:tab w:val="right" w:pos="8306"/>
      </w:tabs>
    </w:pPr>
    <w:rPr>
      <w:sz w:val="18"/>
      <w:szCs w:val="18"/>
    </w:rPr>
  </w:style>
  <w:style w:type="paragraph" w:styleId="13">
    <w:name w:val="header"/>
    <w:basedOn w:val="1"/>
    <w:link w:val="33"/>
    <w:qFormat/>
    <w:uiPriority w:val="0"/>
    <w:pPr>
      <w:tabs>
        <w:tab w:val="center" w:pos="4153"/>
        <w:tab w:val="right" w:pos="8306"/>
      </w:tabs>
      <w:jc w:val="center"/>
    </w:pPr>
    <w:rPr>
      <w:sz w:val="18"/>
      <w:szCs w:val="18"/>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Emphasis"/>
    <w:basedOn w:val="16"/>
    <w:qFormat/>
    <w:uiPriority w:val="0"/>
  </w:style>
  <w:style w:type="character" w:styleId="19">
    <w:name w:val="Hyperlink"/>
    <w:basedOn w:val="16"/>
    <w:qFormat/>
    <w:uiPriority w:val="0"/>
    <w:rPr>
      <w:color w:val="0000FF"/>
      <w:u w:val="singl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宋体" w:hAnsi="宋体" w:eastAsia="宋体" w:cs="宋体"/>
      <w:sz w:val="24"/>
      <w:szCs w:val="24"/>
    </w:rPr>
  </w:style>
  <w:style w:type="paragraph" w:customStyle="1" w:styleId="22">
    <w:name w:val="二级"/>
    <w:basedOn w:val="23"/>
    <w:qFormat/>
    <w:uiPriority w:val="0"/>
    <w:pPr>
      <w:tabs>
        <w:tab w:val="left" w:pos="851"/>
      </w:tabs>
      <w:jc w:val="center"/>
    </w:pPr>
    <w:rPr>
      <w:rFonts w:ascii="宋体" w:hAnsi="宋体" w:eastAsia="宋体"/>
      <w:sz w:val="28"/>
    </w:rPr>
  </w:style>
  <w:style w:type="paragraph" w:customStyle="1" w:styleId="23">
    <w:name w:val="A标题4"/>
    <w:basedOn w:val="10"/>
    <w:next w:val="1"/>
    <w:qFormat/>
    <w:uiPriority w:val="0"/>
    <w:pPr>
      <w:keepNext w:val="0"/>
      <w:keepLines w:val="0"/>
      <w:tabs>
        <w:tab w:val="left" w:pos="851"/>
      </w:tabs>
      <w:spacing w:before="0" w:after="80" w:line="360" w:lineRule="auto"/>
      <w:ind w:left="851" w:hanging="851"/>
    </w:pPr>
    <w:rPr>
      <w:sz w:val="24"/>
    </w:rPr>
  </w:style>
  <w:style w:type="paragraph" w:customStyle="1" w:styleId="24">
    <w:name w:val="样式1"/>
    <w:basedOn w:val="1"/>
    <w:next w:val="10"/>
    <w:qFormat/>
    <w:uiPriority w:val="0"/>
    <w:pPr>
      <w:widowControl w:val="0"/>
      <w:spacing w:line="360" w:lineRule="auto"/>
      <w:ind w:firstLine="420" w:firstLineChars="200"/>
      <w:jc w:val="both"/>
    </w:pPr>
    <w:rPr>
      <w:rFonts w:cs="Times New Roman"/>
      <w:kern w:val="2"/>
    </w:rPr>
  </w:style>
  <w:style w:type="paragraph" w:customStyle="1" w:styleId="25">
    <w:name w:val="正文1"/>
    <w:basedOn w:val="1"/>
    <w:qFormat/>
    <w:uiPriority w:val="0"/>
    <w:pPr>
      <w:widowControl w:val="0"/>
      <w:jc w:val="both"/>
    </w:pPr>
    <w:rPr>
      <w:rFonts w:ascii="Times New Roman" w:hAnsi="Times New Roman" w:cs="Times New Roman"/>
      <w:sz w:val="20"/>
      <w:szCs w:val="20"/>
    </w:rPr>
  </w:style>
  <w:style w:type="paragraph" w:customStyle="1" w:styleId="26">
    <w:name w:val="p0"/>
    <w:basedOn w:val="1"/>
    <w:qFormat/>
    <w:uiPriority w:val="0"/>
    <w:pPr>
      <w:jc w:val="both"/>
    </w:pPr>
    <w:rPr>
      <w:rFonts w:ascii="Times New Roman" w:hAnsi="Times New Roman" w:cs="Times New Roman"/>
    </w:rPr>
  </w:style>
  <w:style w:type="paragraph" w:customStyle="1" w:styleId="27">
    <w:name w:val="三级"/>
    <w:basedOn w:val="1"/>
    <w:qFormat/>
    <w:uiPriority w:val="0"/>
    <w:pPr>
      <w:tabs>
        <w:tab w:val="left" w:pos="851"/>
      </w:tabs>
      <w:spacing w:after="80" w:line="360" w:lineRule="auto"/>
      <w:ind w:left="851" w:hanging="851"/>
      <w:outlineLvl w:val="3"/>
    </w:pPr>
    <w:rPr>
      <w:rFonts w:ascii="宋体" w:hAnsi="宋体"/>
      <w:b/>
      <w:bCs/>
      <w:sz w:val="24"/>
    </w:rPr>
  </w:style>
  <w:style w:type="paragraph" w:customStyle="1" w:styleId="28">
    <w:name w:val="样式2"/>
    <w:basedOn w:val="1"/>
    <w:qFormat/>
    <w:uiPriority w:val="0"/>
    <w:pPr>
      <w:widowControl w:val="0"/>
      <w:spacing w:beforeLines="50" w:line="360" w:lineRule="auto"/>
      <w:jc w:val="center"/>
      <w:outlineLvl w:val="0"/>
    </w:pPr>
    <w:rPr>
      <w:rFonts w:ascii="Times New Roman" w:hAnsi="Times New Roman" w:eastAsia="黑体" w:cs="Times New Roman"/>
      <w:b/>
      <w:kern w:val="2"/>
      <w:sz w:val="44"/>
      <w:szCs w:val="44"/>
    </w:rPr>
  </w:style>
  <w:style w:type="character" w:customStyle="1" w:styleId="29">
    <w:name w:val="标题 3 字符"/>
    <w:link w:val="9"/>
    <w:qFormat/>
    <w:uiPriority w:val="99"/>
    <w:rPr>
      <w:b/>
      <w:bCs/>
      <w:kern w:val="0"/>
      <w:sz w:val="32"/>
      <w:szCs w:val="32"/>
    </w:rPr>
  </w:style>
  <w:style w:type="paragraph" w:customStyle="1" w:styleId="30">
    <w:name w:val="样式 标题 2 + Times New Roman 四号 非加粗 段前: 5 磅 段后: 0 磅 行距: 固定值 20..."/>
    <w:basedOn w:val="8"/>
    <w:qFormat/>
    <w:uiPriority w:val="99"/>
    <w:pPr>
      <w:spacing w:before="100" w:after="0" w:line="400" w:lineRule="exact"/>
    </w:pPr>
    <w:rPr>
      <w:rFonts w:ascii="Times New Roman" w:hAnsi="Times New Roman"/>
      <w:b w:val="0"/>
      <w:bCs w:val="0"/>
      <w:sz w:val="20"/>
      <w:szCs w:val="20"/>
    </w:rPr>
  </w:style>
  <w:style w:type="paragraph" w:customStyle="1" w:styleId="31">
    <w:name w:val="一级"/>
    <w:basedOn w:val="28"/>
    <w:qFormat/>
    <w:uiPriority w:val="0"/>
    <w:rPr>
      <w:b w:val="0"/>
      <w:sz w:val="32"/>
      <w:szCs w:val="32"/>
    </w:rPr>
  </w:style>
  <w:style w:type="table" w:customStyle="1" w:styleId="32">
    <w:name w:val="网格型1"/>
    <w:basedOn w:val="14"/>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页眉 字符"/>
    <w:basedOn w:val="16"/>
    <w:link w:val="13"/>
    <w:qFormat/>
    <w:uiPriority w:val="0"/>
    <w:rPr>
      <w:rFonts w:ascii="Arial" w:hAnsi="Arial" w:eastAsia="Arial" w:cs="Arial"/>
      <w:snapToGrid w:val="0"/>
      <w:color w:val="000000"/>
      <w:sz w:val="18"/>
      <w:szCs w:val="18"/>
      <w:lang w:eastAsia="en-US"/>
    </w:rPr>
  </w:style>
  <w:style w:type="character" w:customStyle="1" w:styleId="34">
    <w:name w:val="页脚 字符"/>
    <w:basedOn w:val="16"/>
    <w:link w:val="12"/>
    <w:qFormat/>
    <w:uiPriority w:val="0"/>
    <w:rPr>
      <w:rFonts w:ascii="Arial" w:hAnsi="Arial" w:eastAsia="Arial" w:cs="Arial"/>
      <w:snapToGrid w:val="0"/>
      <w:color w:val="000000"/>
      <w:sz w:val="18"/>
      <w:szCs w:val="18"/>
      <w:lang w:eastAsia="en-US"/>
    </w:rPr>
  </w:style>
  <w:style w:type="character" w:customStyle="1" w:styleId="35">
    <w:name w:val="标题 1 字符"/>
    <w:basedOn w:val="16"/>
    <w:link w:val="7"/>
    <w:qFormat/>
    <w:uiPriority w:val="0"/>
    <w:rPr>
      <w:rFonts w:ascii="Arial" w:hAnsi="Arial" w:eastAsia="Arial" w:cs="Arial"/>
      <w:b/>
      <w:bCs/>
      <w:snapToGrid w:val="0"/>
      <w:color w:val="000000"/>
      <w:kern w:val="44"/>
      <w:sz w:val="44"/>
      <w:szCs w:val="44"/>
      <w:lang w:eastAsia="en-US"/>
    </w:rPr>
  </w:style>
  <w:style w:type="paragraph" w:customStyle="1" w:styleId="36">
    <w:name w:val="Default"/>
    <w:qFormat/>
    <w:uiPriority w:val="0"/>
    <w:pPr>
      <w:widowControl w:val="0"/>
      <w:autoSpaceDE w:val="0"/>
      <w:autoSpaceDN w:val="0"/>
      <w:adjustRightInd w:val="0"/>
    </w:pPr>
    <w:rPr>
      <w:rFonts w:ascii="黑体" w:hAnsi="Calibri" w:eastAsia="黑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3FDF6C-CBF7-4258-9044-8EDD326FE0F7}">
  <ds:schemaRefs/>
</ds:datastoreItem>
</file>

<file path=docProps/app.xml><?xml version="1.0" encoding="utf-8"?>
<Properties xmlns="http://schemas.openxmlformats.org/officeDocument/2006/extended-properties" xmlns:vt="http://schemas.openxmlformats.org/officeDocument/2006/docPropsVTypes">
  <Template>Normal.dotm</Template>
  <Pages>47</Pages>
  <Words>7848</Words>
  <Characters>8621</Characters>
  <Lines>194</Lines>
  <Paragraphs>54</Paragraphs>
  <TotalTime>10</TotalTime>
  <ScaleCrop>false</ScaleCrop>
  <LinksUpToDate>false</LinksUpToDate>
  <CharactersWithSpaces>8738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2024-12-24T13:55:00Z</dcterms:created>
  <dc:creator>83790211</dc:creator>
  <cp:lastModifiedBy>我在拉臭臭</cp:lastModifiedBy>
  <dcterms:modified xsi:type="dcterms:W3CDTF">2026-09-21T02:22:51Z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2024-12-24T13:56:21Z</vt:filetime>
  </property>
  <property fmtid="{D5CDD505-2E9C-101B-9397-08002B2CF9AE}" pid="4" name="KSOProductBuildVer">
    <vt:lpwstr>2052-12.1.0.28488</vt:lpwstr>
  </property>
  <property fmtid="{D5CDD505-2E9C-101B-9397-08002B2CF9AE}" pid="5" name="ICV">
    <vt:lpwstr>C22E434A3EB847AC8D865886C3C3B856</vt:lpwstr>
  </property>
  <property fmtid="{D5CDD505-2E9C-101B-9397-08002B2CF9AE}" pid="6" name="KSOTemplateDocerSaveRecord">
    <vt:lpwstr>eyJoZGlkIjoiNzI1MzljODBiNDliMzEyMzFlZWNlN2EzYjU0N2YzMWEiLCJ1c2VySWQiOiIyNjE0NTYxMTMifQ==</vt:lpwstr>
  </property>
</Properties>
</file>